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sz w:val="32"/>
          <w:szCs w:val="32"/>
        </w:rPr>
        <w:t>北证办发〔2025〕</w:t>
      </w:r>
      <w:r>
        <w:rPr>
          <w:rFonts w:hint="eastAsia" w:ascii="Times New Roman" w:hAnsi="Times New Roman" w:eastAsia="黑体" w:cs="Times New Roman"/>
          <w:sz w:val="32"/>
          <w:szCs w:val="32"/>
          <w:lang w:val="en-US" w:eastAsia="zh-CN"/>
        </w:rPr>
        <w:t>32</w:t>
      </w:r>
      <w:bookmarkStart w:id="0" w:name="_GoBack"/>
      <w:bookmarkEnd w:id="0"/>
      <w:r>
        <w:rPr>
          <w:rFonts w:ascii="Times New Roman" w:hAnsi="Times New Roman" w:eastAsia="黑体" w:cs="Times New Roman"/>
          <w:sz w:val="32"/>
          <w:szCs w:val="32"/>
        </w:rPr>
        <w:t>号附件2</w:t>
      </w:r>
    </w:p>
    <w:p>
      <w:pPr>
        <w:spacing w:line="0" w:lineRule="atLeast"/>
        <w:jc w:val="center"/>
        <w:rPr>
          <w:rFonts w:ascii="方正大标宋简体" w:eastAsia="方正大标宋简体"/>
          <w:sz w:val="44"/>
          <w:szCs w:val="44"/>
        </w:rPr>
      </w:pPr>
    </w:p>
    <w:p>
      <w:pPr>
        <w:spacing w:line="0" w:lineRule="atLeast"/>
        <w:jc w:val="center"/>
        <w:outlineLvl w:val="0"/>
        <w:rPr>
          <w:rFonts w:ascii="方正大标宋简体" w:eastAsia="方正大标宋简体"/>
          <w:sz w:val="44"/>
          <w:szCs w:val="44"/>
        </w:rPr>
      </w:pPr>
      <w:r>
        <w:rPr>
          <w:rFonts w:hint="eastAsia" w:ascii="方正大标宋简体" w:eastAsia="方正大标宋简体"/>
          <w:sz w:val="44"/>
          <w:szCs w:val="44"/>
        </w:rPr>
        <w:t>北京证券交易所存量上市公司证券代码切换（试点）</w:t>
      </w:r>
      <w:r>
        <w:rPr>
          <w:rFonts w:hint="eastAsia" w:ascii="方正大标宋简体" w:eastAsia="方正大标宋简体"/>
          <w:sz w:val="44"/>
          <w:szCs w:val="44"/>
          <w:lang w:eastAsia="zh-CN"/>
        </w:rPr>
        <w:t>通关</w:t>
      </w:r>
      <w:r>
        <w:rPr>
          <w:rFonts w:hint="eastAsia" w:ascii="方正大标宋简体" w:eastAsia="方正大标宋简体"/>
          <w:sz w:val="44"/>
          <w:szCs w:val="44"/>
        </w:rPr>
        <w:t>测试反馈报告</w:t>
      </w:r>
    </w:p>
    <w:p>
      <w:pPr>
        <w:spacing w:line="0" w:lineRule="atLeast"/>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一、机构名称</w:t>
            </w:r>
          </w:p>
          <w:p>
            <w:pPr>
              <w:pStyle w:val="2"/>
              <w:ind w:firstLine="0" w:firstLineChars="0"/>
              <w:rPr>
                <w:rFonts w:hint="eastAsia" w:ascii="Times New Roman" w:hAnsi="Times New Roman" w:eastAsia="仿宋" w:cs="Times New Roman"/>
                <w:kern w:val="2"/>
                <w:sz w:val="28"/>
                <w:szCs w:val="28"/>
                <w:lang w:val="en-US" w:eastAsia="zh-CN" w:bidi="ar-SA"/>
              </w:rPr>
            </w:pPr>
          </w:p>
          <w:p>
            <w:pPr>
              <w:pStyle w:val="2"/>
              <w:ind w:firstLine="0" w:firstLineChars="0"/>
            </w:pPr>
            <w:r>
              <w:rPr>
                <w:rFonts w:hint="eastAsia" w:ascii="Times New Roman" w:hAnsi="Times New Roman" w:eastAsia="仿宋" w:cs="Times New Roman"/>
                <w:kern w:val="2"/>
                <w:sz w:val="28"/>
                <w:szCs w:val="28"/>
                <w:lang w:val="en-US" w:eastAsia="zh-CN" w:bidi="ar-SA"/>
              </w:rPr>
              <w:t>经纪业务营业部____家，参测经纪营业部____家。（证券公司填写）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二、</w:t>
            </w:r>
            <w:r>
              <w:rPr>
                <w:rFonts w:ascii="黑体" w:hAnsi="黑体" w:eastAsia="黑体" w:cs="Arial"/>
                <w:sz w:val="28"/>
                <w:szCs w:val="28"/>
              </w:rPr>
              <w:t>测试时间</w:t>
            </w:r>
          </w:p>
          <w:p>
            <w:pPr>
              <w:pStyle w:val="10"/>
              <w:spacing w:before="60" w:after="60" w:line="0" w:lineRule="atLeast"/>
              <w:ind w:firstLine="0" w:firstLineChars="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2025年</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0"/>
                <w:numId w:val="1"/>
              </w:numPr>
              <w:spacing w:before="60" w:after="60" w:line="0" w:lineRule="atLeast"/>
              <w:rPr>
                <w:rFonts w:ascii="Times New Roman" w:hAnsi="Times New Roman" w:eastAsia="黑体" w:cs="Times New Roman"/>
                <w:sz w:val="28"/>
                <w:szCs w:val="28"/>
              </w:rPr>
            </w:pPr>
            <w:r>
              <w:rPr>
                <w:rFonts w:ascii="Times New Roman" w:hAnsi="Times New Roman" w:eastAsia="黑体" w:cs="Times New Roman"/>
                <w:sz w:val="28"/>
                <w:szCs w:val="28"/>
              </w:rPr>
              <w:t>测试情况</w:t>
            </w:r>
          </w:p>
          <w:p>
            <w:pPr>
              <w:pStyle w:val="2"/>
              <w:ind w:left="0" w:leftChars="0" w:firstLine="0"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2025年5月1日，</w:t>
            </w:r>
            <w:r>
              <w:rPr>
                <w:rFonts w:hint="eastAsia" w:ascii="楷体" w:hAnsi="楷体" w:eastAsia="楷体" w:cs="楷体"/>
                <w:sz w:val="28"/>
                <w:szCs w:val="28"/>
                <w:lang w:eastAsia="zh-CN"/>
              </w:rPr>
              <w:t>证券公司和基金公司填写第</w:t>
            </w:r>
            <w:r>
              <w:rPr>
                <w:rFonts w:hint="eastAsia" w:ascii="楷体" w:hAnsi="楷体" w:eastAsia="楷体" w:cs="楷体"/>
                <w:sz w:val="28"/>
                <w:szCs w:val="28"/>
                <w:lang w:val="en-US" w:eastAsia="zh-CN"/>
              </w:rPr>
              <w:t>1项和第2项、信息商填写第2项，于21：00前电子邮件反馈至北交所，</w:t>
            </w:r>
            <w:r>
              <w:rPr>
                <w:rFonts w:hint="eastAsia" w:ascii="楷体" w:hAnsi="楷体" w:eastAsia="楷体" w:cs="楷体"/>
                <w:sz w:val="28"/>
                <w:szCs w:val="28"/>
                <w:lang w:eastAsia="zh-CN"/>
              </w:rPr>
              <w:t>邮件主题和附件名称均为：机构名称+北交所存量上市公司代码切换（试点）切换情况报告，收件邮箱为：techservice@neeq.com.cn</w:t>
            </w:r>
            <w:r>
              <w:rPr>
                <w:rFonts w:hint="eastAsia" w:ascii="楷体" w:hAnsi="楷体" w:eastAsia="楷体" w:cs="楷体"/>
                <w:sz w:val="28"/>
                <w:szCs w:val="28"/>
                <w:lang w:val="en-US" w:eastAsia="zh-CN"/>
              </w:rPr>
              <w:t>）</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1.代码切换前使用老代码正常完成日终处理。</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2.代码切换阶段能正确完成涉及交易、行情技术系统、投资者周边系统的代码切换。</w:t>
            </w:r>
          </w:p>
          <w:p>
            <w:pPr>
              <w:pBdr>
                <w:bottom w:val="single" w:color="auto" w:sz="4" w:space="0"/>
              </w:pBdr>
              <w:spacing w:before="60" w:after="60" w:line="0" w:lineRule="atLeas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pStyle w:val="2"/>
              <w:ind w:left="0" w:leftChars="0" w:firstLine="0" w:firstLineChars="0"/>
              <w:rPr>
                <w:rFonts w:hint="eastAsia" w:ascii="楷体" w:hAnsi="楷体" w:eastAsia="楷体" w:cs="楷体"/>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2025年5月2日，</w:t>
            </w:r>
            <w:r>
              <w:rPr>
                <w:rFonts w:hint="eastAsia" w:ascii="楷体" w:hAnsi="楷体" w:eastAsia="楷体" w:cs="楷体"/>
                <w:sz w:val="28"/>
                <w:szCs w:val="28"/>
                <w:lang w:eastAsia="zh-CN"/>
              </w:rPr>
              <w:t>证券公司填写第</w:t>
            </w:r>
            <w:r>
              <w:rPr>
                <w:rFonts w:hint="eastAsia" w:ascii="楷体" w:hAnsi="楷体" w:eastAsia="楷体" w:cs="楷体"/>
                <w:sz w:val="28"/>
                <w:szCs w:val="28"/>
                <w:lang w:val="en-US" w:eastAsia="zh-CN"/>
              </w:rPr>
              <w:t>3项至第8项、</w:t>
            </w:r>
            <w:r>
              <w:rPr>
                <w:rFonts w:hint="eastAsia" w:ascii="楷体" w:hAnsi="楷体" w:eastAsia="楷体" w:cs="楷体"/>
                <w:sz w:val="28"/>
                <w:szCs w:val="28"/>
                <w:lang w:eastAsia="zh-CN"/>
              </w:rPr>
              <w:t>基金公司填写第</w:t>
            </w:r>
            <w:r>
              <w:rPr>
                <w:rFonts w:hint="eastAsia" w:ascii="楷体" w:hAnsi="楷体" w:eastAsia="楷体" w:cs="楷体"/>
                <w:sz w:val="28"/>
                <w:szCs w:val="28"/>
                <w:lang w:val="en-US" w:eastAsia="zh-CN"/>
              </w:rPr>
              <w:t>3项，信息商填写第6项、第7项和第8项，于21：00前电子邮件反馈至北交所，</w:t>
            </w:r>
            <w:r>
              <w:rPr>
                <w:rFonts w:hint="eastAsia" w:ascii="楷体" w:hAnsi="楷体" w:eastAsia="楷体" w:cs="楷体"/>
                <w:sz w:val="28"/>
                <w:szCs w:val="28"/>
                <w:lang w:eastAsia="zh-CN"/>
              </w:rPr>
              <w:t>邮件主题和附件名称均为：机构名称+北交所存量上市公司代码切换（试点）稽核情况报告，收件邮箱为：techservice@neeq.com.cn</w:t>
            </w:r>
            <w:r>
              <w:rPr>
                <w:rFonts w:hint="eastAsia" w:ascii="楷体" w:hAnsi="楷体" w:eastAsia="楷体" w:cs="楷体"/>
                <w:sz w:val="28"/>
                <w:szCs w:val="28"/>
                <w:lang w:val="en-US" w:eastAsia="zh-CN"/>
              </w:rPr>
              <w:t>）</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3.代码切换后数据核对阶段，交易结算类相关业务内部数据核对符合预期。</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4.代码切换后数据核对阶段，北交所重新发送的7个数据校验接口数据核对准确无误。（券商适用）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5.代码切换后数据核对阶段，中国结算北分重新发送的2个数据校验接口（明细结果库和股份结算对账库）数据核对准确无误。（券商适用）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6.代码切换后已切换股票新三板期间行情不再与北交所上市期间行情连续。</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7.代码切换后已切换股票在北交所上市以来行情信息（含精选层期间）按照新代码连续展示，切换后首日前收盘价为原代码前收盘价。</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8.代码切换后能够按要求支持投资者使用新老代码查询行情、公告等信息。</w:t>
            </w:r>
          </w:p>
          <w:p>
            <w:pPr>
              <w:pBdr>
                <w:bottom w:val="single" w:color="auto" w:sz="4" w:space="0"/>
              </w:pBdr>
              <w:spacing w:before="60" w:after="60" w:line="0" w:lineRule="atLeast"/>
              <w:rPr>
                <w:rFonts w:hint="eastAsia" w:ascii="楷体" w:hAnsi="楷体" w:eastAsia="楷体" w:cs="楷体"/>
                <w:sz w:val="28"/>
                <w:szCs w:val="28"/>
                <w:lang w:eastAsia="zh-CN"/>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9.代码切换后涉及已切换股票的各类北交所业务委托申报、回报处理、股份计算、资金冻结等均正常。</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10.代码切换完成后能够正确接收、处理北交所下发的行情信息。</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11.代码切换完成后能够正常完成北交所股票的清算交收。</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12.代码切换完成后融资融券相关业务可正常开展，余额等数据可正确报送。</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13.代码切换完成后北交所做市商做市相关业务可正常开展，做市义务可正常履行。</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14.代码切换完成后投资者使用新老代码均可查询上市以来的全部交易流水记录，并按照实际发生时的代码正确展示。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15</w:t>
            </w:r>
            <w:r>
              <w:rPr>
                <w:rFonts w:hint="eastAsia" w:ascii="Times New Roman" w:hAnsi="Times New Roman" w:eastAsia="仿宋" w:cs="Times New Roman"/>
                <w:sz w:val="28"/>
                <w:szCs w:val="28"/>
                <w:lang w:val="en"/>
              </w:rPr>
              <w:t>.</w:t>
            </w:r>
            <w:r>
              <w:rPr>
                <w:rFonts w:hint="eastAsia" w:ascii="Times New Roman" w:hAnsi="Times New Roman" w:eastAsia="仿宋" w:cs="Times New Roman"/>
                <w:sz w:val="28"/>
                <w:szCs w:val="28"/>
              </w:rPr>
              <w:t>代码切换完成后已切换股票、未切换股票的各项业务（含优先股、可转债、要约等）均可正常开展。</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16.各类系统（经纪业务类系统、自营业务类系统、做市业务类系统、资管业务类等系统）能够正确完成所有测试要求。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、测试结论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参测各类系统能够正确完成所有业务测试场景，达到上线要求。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□完全通过   □部分通过   □未通过</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（注：如果选择“部分通过”或“未通过”，请在问</w:t>
            </w:r>
            <w:r>
              <w:rPr>
                <w:rFonts w:hint="eastAsia" w:ascii="Times New Roman" w:hAnsi="Times New Roman" w:eastAsia="仿宋" w:cs="Times New Roman"/>
                <w:sz w:val="28"/>
                <w:szCs w:val="28"/>
                <w:lang w:eastAsia="zh-CN"/>
              </w:rPr>
              <w:t>题</w:t>
            </w:r>
            <w:r>
              <w:rPr>
                <w:rFonts w:hint="eastAsia" w:ascii="Times New Roman" w:hAnsi="Times New Roman" w:eastAsia="仿宋" w:cs="Times New Roman"/>
                <w:sz w:val="28"/>
                <w:szCs w:val="28"/>
              </w:rPr>
              <w:t>记录中写明测试未通过技术系统详细情况</w:t>
            </w:r>
            <w:r>
              <w:rPr>
                <w:rFonts w:hint="eastAsia" w:ascii="Times New Roman" w:hAnsi="Times New Roman" w:eastAsia="仿宋" w:cs="Times New Roman"/>
                <w:sz w:val="28"/>
                <w:szCs w:val="28"/>
                <w:lang w:eastAsia="zh-CN"/>
              </w:rPr>
              <w:t>以及未通过经纪营业部数量</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jc w:val="left"/>
              <w:rPr>
                <w:rFonts w:ascii="黑体" w:hAnsi="黑体" w:eastAsia="黑体" w:cs="Arial"/>
                <w:sz w:val="28"/>
                <w:szCs w:val="28"/>
              </w:rPr>
            </w:pPr>
            <w:r>
              <w:rPr>
                <w:rFonts w:hint="eastAsia" w:ascii="黑体" w:hAnsi="黑体" w:eastAsia="黑体" w:cs="Arial"/>
                <w:sz w:val="28"/>
                <w:szCs w:val="28"/>
              </w:rPr>
              <w:t>五、</w:t>
            </w:r>
            <w:r>
              <w:rPr>
                <w:rFonts w:ascii="黑体" w:hAnsi="黑体" w:eastAsia="黑体" w:cs="Arial"/>
                <w:sz w:val="28"/>
                <w:szCs w:val="28"/>
              </w:rPr>
              <w:t>问</w:t>
            </w:r>
            <w:r>
              <w:rPr>
                <w:rFonts w:hint="eastAsia" w:ascii="黑体" w:hAnsi="黑体" w:eastAsia="黑体" w:cs="Arial"/>
                <w:sz w:val="28"/>
                <w:szCs w:val="28"/>
                <w:lang w:eastAsia="zh-CN"/>
              </w:rPr>
              <w:t>题</w:t>
            </w:r>
            <w:r>
              <w:rPr>
                <w:rFonts w:ascii="黑体" w:hAnsi="黑体" w:eastAsia="黑体" w:cs="Arial"/>
                <w:sz w:val="28"/>
                <w:szCs w:val="28"/>
              </w:rPr>
              <w:t>记录</w:t>
            </w: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sz w:val="28"/>
                <w:szCs w:val="28"/>
              </w:rPr>
            </w:pPr>
            <w:r>
              <w:rPr>
                <w:rFonts w:ascii="仿宋" w:hAnsi="仿宋" w:eastAsia="仿宋" w:cs="Arial"/>
                <w:sz w:val="28"/>
                <w:szCs w:val="28"/>
              </w:rPr>
              <w:t>注：测试中发现的问</w:t>
            </w:r>
            <w:r>
              <w:rPr>
                <w:rFonts w:hint="eastAsia" w:ascii="仿宋" w:hAnsi="仿宋" w:eastAsia="仿宋" w:cs="Arial"/>
                <w:sz w:val="28"/>
                <w:szCs w:val="28"/>
                <w:lang w:eastAsia="zh-CN"/>
              </w:rPr>
              <w:t>题</w:t>
            </w:r>
            <w:r>
              <w:rPr>
                <w:rFonts w:ascii="仿宋" w:hAnsi="仿宋" w:eastAsia="仿宋" w:cs="Arial"/>
                <w:sz w:val="28"/>
                <w:szCs w:val="28"/>
              </w:rPr>
              <w:t>，请在本栏描述。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96" w:type="dxa"/>
          </w:tcPr>
          <w:p>
            <w:pPr>
              <w:spacing w:before="60" w:after="60" w:line="0" w:lineRule="atLeast"/>
              <w:jc w:val="left"/>
              <w:rPr>
                <w:rFonts w:ascii="仿宋" w:hAnsi="仿宋" w:eastAsia="仿宋" w:cs="Arial"/>
                <w:sz w:val="28"/>
                <w:szCs w:val="28"/>
              </w:rPr>
            </w:pPr>
            <w:r>
              <w:rPr>
                <w:rFonts w:ascii="黑体" w:hAnsi="黑体" w:eastAsia="黑体" w:cs="Arial"/>
                <w:sz w:val="28"/>
                <w:szCs w:val="28"/>
              </w:rPr>
              <w:t>测试负责人：</w:t>
            </w:r>
          </w:p>
          <w:p>
            <w:pPr>
              <w:spacing w:before="60" w:after="60" w:line="0" w:lineRule="atLeast"/>
              <w:jc w:val="left"/>
              <w:rPr>
                <w:rFonts w:ascii="黑体" w:hAnsi="黑体" w:eastAsia="黑体" w:cs="Arial"/>
                <w:sz w:val="28"/>
                <w:szCs w:val="28"/>
              </w:rPr>
            </w:pPr>
            <w:r>
              <w:rPr>
                <w:rFonts w:ascii="仿宋" w:hAnsi="仿宋" w:eastAsia="仿宋"/>
                <w:sz w:val="28"/>
                <w:szCs w:val="28"/>
              </w:rPr>
              <w:br w:type="textWrapping"/>
            </w:r>
            <w:r>
              <w:rPr>
                <w:rFonts w:ascii="黑体" w:hAnsi="黑体" w:eastAsia="黑体" w:cs="Arial"/>
                <w:sz w:val="28"/>
                <w:szCs w:val="28"/>
              </w:rPr>
              <w:t>联系电话（固话和手机）：</w:t>
            </w:r>
          </w:p>
          <w:p>
            <w:pPr>
              <w:spacing w:before="60" w:after="60" w:line="0" w:lineRule="atLeast"/>
              <w:jc w:val="left"/>
              <w:rPr>
                <w:rFonts w:ascii="黑体" w:hAnsi="黑体" w:eastAsia="黑体" w:cs="Arial"/>
                <w:sz w:val="28"/>
                <w:szCs w:val="28"/>
              </w:rPr>
            </w:pPr>
          </w:p>
        </w:tc>
      </w:tr>
    </w:tbl>
    <w:p>
      <w:pPr>
        <w:spacing w:line="0" w:lineRule="atLeast"/>
      </w:pPr>
    </w:p>
    <w:p>
      <w:pPr>
        <w:spacing w:line="0" w:lineRule="atLeast"/>
        <w:rPr>
          <w:rFonts w:ascii="Times New Roman" w:hAnsi="Times New Roman" w:eastAsia="楷体" w:cs="Times New Roman"/>
          <w:sz w:val="24"/>
          <w:szCs w:val="28"/>
        </w:rPr>
      </w:pPr>
      <w:r>
        <w:rPr>
          <w:rFonts w:hint="eastAsia" w:ascii="楷体" w:hAnsi="楷体" w:eastAsia="楷体" w:cs="楷体"/>
          <w:sz w:val="28"/>
          <w:szCs w:val="28"/>
          <w:lang w:eastAsia="zh-CN"/>
        </w:rPr>
        <w:t>注：通关测试结束后，各证券公司应收集各自技术系统的测试情况，并于2025年5月3日19:30之前通过BPM提交测试报告（无需盖章）。参测基金公司和信息商应按上述时间要求通过电子邮件提交测试报告（无需盖章），邮件主题和附件名称均为：机构名称+北交所存量上市公司代码切换（试点）通关测试报告，收件邮箱为：techservice@neeq.com.cn。</w:t>
      </w:r>
      <w:r>
        <w:rPr>
          <w:rFonts w:hint="eastAsia" w:ascii="楷体" w:hAnsi="楷体" w:eastAsia="楷体" w:cs="楷体"/>
          <w:sz w:val="28"/>
          <w:szCs w:val="28"/>
          <w:lang w:val="en-US" w:eastAsia="zh-CN"/>
        </w:rPr>
        <w:t>5月3日</w:t>
      </w:r>
      <w:r>
        <w:rPr>
          <w:rFonts w:hint="eastAsia" w:ascii="楷体" w:hAnsi="楷体" w:eastAsia="楷体" w:cs="楷体"/>
          <w:sz w:val="28"/>
          <w:szCs w:val="28"/>
          <w:lang w:eastAsia="zh-CN"/>
        </w:rPr>
        <w:t>反馈测试报告时需填写反馈报告中涉及的全部条项。</w:t>
      </w:r>
    </w:p>
    <w:sectPr>
      <w:headerReference r:id="rId3" w:type="default"/>
      <w:footerReference r:id="rId4" w:type="default"/>
      <w:footerReference r:id="rId5"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69124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91657584"/>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0BB8"/>
    <w:multiLevelType w:val="singleLevel"/>
    <w:tmpl w:val="F7E60B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00030C62"/>
    <w:rsid w:val="000C10A0"/>
    <w:rsid w:val="000F10B6"/>
    <w:rsid w:val="000F4D2A"/>
    <w:rsid w:val="00130595"/>
    <w:rsid w:val="00255DDF"/>
    <w:rsid w:val="00322042"/>
    <w:rsid w:val="003A719A"/>
    <w:rsid w:val="003B4AA8"/>
    <w:rsid w:val="003E7A93"/>
    <w:rsid w:val="004C25E3"/>
    <w:rsid w:val="005258A4"/>
    <w:rsid w:val="0066266D"/>
    <w:rsid w:val="00681E6B"/>
    <w:rsid w:val="006E280D"/>
    <w:rsid w:val="006F059A"/>
    <w:rsid w:val="00822087"/>
    <w:rsid w:val="008A6B97"/>
    <w:rsid w:val="009879A7"/>
    <w:rsid w:val="009879C6"/>
    <w:rsid w:val="00A55770"/>
    <w:rsid w:val="00AC6261"/>
    <w:rsid w:val="00AD31F1"/>
    <w:rsid w:val="00B75920"/>
    <w:rsid w:val="00C56CE1"/>
    <w:rsid w:val="00C933F1"/>
    <w:rsid w:val="00C94C3D"/>
    <w:rsid w:val="00CA37AF"/>
    <w:rsid w:val="00D15D74"/>
    <w:rsid w:val="00D434A8"/>
    <w:rsid w:val="00D94A4E"/>
    <w:rsid w:val="00E35C9E"/>
    <w:rsid w:val="00E95E00"/>
    <w:rsid w:val="00F20D72"/>
    <w:rsid w:val="00F44274"/>
    <w:rsid w:val="00FA39EC"/>
    <w:rsid w:val="03D9ACEF"/>
    <w:rsid w:val="0A772342"/>
    <w:rsid w:val="0EDD33F0"/>
    <w:rsid w:val="15796B0D"/>
    <w:rsid w:val="15CEFEA2"/>
    <w:rsid w:val="17FF0A54"/>
    <w:rsid w:val="1BFCE234"/>
    <w:rsid w:val="1DEC2A01"/>
    <w:rsid w:val="2AFEEE4D"/>
    <w:rsid w:val="2F7F5BE9"/>
    <w:rsid w:val="31725D05"/>
    <w:rsid w:val="368D2097"/>
    <w:rsid w:val="36FB5734"/>
    <w:rsid w:val="3799C458"/>
    <w:rsid w:val="37DF997F"/>
    <w:rsid w:val="3ABF3CAC"/>
    <w:rsid w:val="3BB29D43"/>
    <w:rsid w:val="3BBDC055"/>
    <w:rsid w:val="3BFF6F1D"/>
    <w:rsid w:val="3E969E0E"/>
    <w:rsid w:val="3EB377F2"/>
    <w:rsid w:val="3EBFCBF2"/>
    <w:rsid w:val="3EFF8A4B"/>
    <w:rsid w:val="3F7AE1CA"/>
    <w:rsid w:val="3F7F0C67"/>
    <w:rsid w:val="3FBCBDAD"/>
    <w:rsid w:val="3FD06DE2"/>
    <w:rsid w:val="3FDF8113"/>
    <w:rsid w:val="47FB12F6"/>
    <w:rsid w:val="4EDFCC35"/>
    <w:rsid w:val="4F5FD904"/>
    <w:rsid w:val="4FDF5ABD"/>
    <w:rsid w:val="4FDF99F5"/>
    <w:rsid w:val="4FFE035D"/>
    <w:rsid w:val="55CF07AF"/>
    <w:rsid w:val="55FFF753"/>
    <w:rsid w:val="5757D02A"/>
    <w:rsid w:val="58D76499"/>
    <w:rsid w:val="5AF6E261"/>
    <w:rsid w:val="5DBF74CE"/>
    <w:rsid w:val="5EED6B51"/>
    <w:rsid w:val="5F7B0672"/>
    <w:rsid w:val="5F9E2A7E"/>
    <w:rsid w:val="5FE79210"/>
    <w:rsid w:val="5FECC36E"/>
    <w:rsid w:val="5FEED1B9"/>
    <w:rsid w:val="5FFD4F20"/>
    <w:rsid w:val="5FFDE180"/>
    <w:rsid w:val="5FFF3033"/>
    <w:rsid w:val="637FF77A"/>
    <w:rsid w:val="67DEB23D"/>
    <w:rsid w:val="6BAFB712"/>
    <w:rsid w:val="6BFF38C5"/>
    <w:rsid w:val="6E79CB86"/>
    <w:rsid w:val="6EBE9E74"/>
    <w:rsid w:val="6EFB9759"/>
    <w:rsid w:val="6FBD66D6"/>
    <w:rsid w:val="6FF7E4D9"/>
    <w:rsid w:val="71F7EEC8"/>
    <w:rsid w:val="735B3963"/>
    <w:rsid w:val="75FCE1AC"/>
    <w:rsid w:val="760F0B06"/>
    <w:rsid w:val="76EEC450"/>
    <w:rsid w:val="76FD742A"/>
    <w:rsid w:val="76FFA220"/>
    <w:rsid w:val="771EC0EB"/>
    <w:rsid w:val="777FD2E6"/>
    <w:rsid w:val="77FFFC5A"/>
    <w:rsid w:val="78F6AFEC"/>
    <w:rsid w:val="7953A586"/>
    <w:rsid w:val="797F0C6E"/>
    <w:rsid w:val="798FA1D2"/>
    <w:rsid w:val="79FD22D7"/>
    <w:rsid w:val="79FD7544"/>
    <w:rsid w:val="7ABF9DBB"/>
    <w:rsid w:val="7AF6780B"/>
    <w:rsid w:val="7AF77DEC"/>
    <w:rsid w:val="7BBBE419"/>
    <w:rsid w:val="7BD98582"/>
    <w:rsid w:val="7BFCC625"/>
    <w:rsid w:val="7BFDD84D"/>
    <w:rsid w:val="7BFFA96A"/>
    <w:rsid w:val="7C7D7FA8"/>
    <w:rsid w:val="7CB6FC75"/>
    <w:rsid w:val="7D55A9BD"/>
    <w:rsid w:val="7D7227D4"/>
    <w:rsid w:val="7D72A174"/>
    <w:rsid w:val="7D7F7417"/>
    <w:rsid w:val="7DDD760B"/>
    <w:rsid w:val="7DFF8708"/>
    <w:rsid w:val="7DFF9F52"/>
    <w:rsid w:val="7E4EA57D"/>
    <w:rsid w:val="7E8D9F15"/>
    <w:rsid w:val="7ED79364"/>
    <w:rsid w:val="7EF29645"/>
    <w:rsid w:val="7EF4C752"/>
    <w:rsid w:val="7F3F27A1"/>
    <w:rsid w:val="7F6F463C"/>
    <w:rsid w:val="7FAF9AD7"/>
    <w:rsid w:val="7FBBE7EA"/>
    <w:rsid w:val="7FBE3A51"/>
    <w:rsid w:val="7FC62354"/>
    <w:rsid w:val="7FC93388"/>
    <w:rsid w:val="7FD073FA"/>
    <w:rsid w:val="7FD7EA07"/>
    <w:rsid w:val="7FF50DB3"/>
    <w:rsid w:val="7FF9A52E"/>
    <w:rsid w:val="7FFA2750"/>
    <w:rsid w:val="7FFBA729"/>
    <w:rsid w:val="7FFF0DEC"/>
    <w:rsid w:val="89970294"/>
    <w:rsid w:val="97D56C17"/>
    <w:rsid w:val="9FCDF9A5"/>
    <w:rsid w:val="A56E3D67"/>
    <w:rsid w:val="A59FB5DB"/>
    <w:rsid w:val="A6EFC633"/>
    <w:rsid w:val="A7DD3774"/>
    <w:rsid w:val="ABFC9E86"/>
    <w:rsid w:val="AEAF0AAA"/>
    <w:rsid w:val="AFDE12FA"/>
    <w:rsid w:val="B674C3DB"/>
    <w:rsid w:val="B77DB465"/>
    <w:rsid w:val="B7F32B0E"/>
    <w:rsid w:val="BAAE4969"/>
    <w:rsid w:val="BD7F5A36"/>
    <w:rsid w:val="BD9E1C52"/>
    <w:rsid w:val="BDF45A77"/>
    <w:rsid w:val="BE7B697E"/>
    <w:rsid w:val="BEDA37F8"/>
    <w:rsid w:val="BEFF342F"/>
    <w:rsid w:val="BFEF3C65"/>
    <w:rsid w:val="BFF1E876"/>
    <w:rsid w:val="BFF7E74D"/>
    <w:rsid w:val="BFFF285B"/>
    <w:rsid w:val="BFFF6EAC"/>
    <w:rsid w:val="C6B7EA13"/>
    <w:rsid w:val="C7DF9328"/>
    <w:rsid w:val="C974431C"/>
    <w:rsid w:val="CDE9CF95"/>
    <w:rsid w:val="D1D70023"/>
    <w:rsid w:val="D61F5AD8"/>
    <w:rsid w:val="D757397D"/>
    <w:rsid w:val="DB5CECD3"/>
    <w:rsid w:val="DD3FC460"/>
    <w:rsid w:val="DD6B9DE1"/>
    <w:rsid w:val="DDBE722C"/>
    <w:rsid w:val="DDEF2A55"/>
    <w:rsid w:val="DEFE5AB4"/>
    <w:rsid w:val="DF73F790"/>
    <w:rsid w:val="DFD9EB7B"/>
    <w:rsid w:val="DFDB83AF"/>
    <w:rsid w:val="DFFC362E"/>
    <w:rsid w:val="E7CB0401"/>
    <w:rsid w:val="E9671C18"/>
    <w:rsid w:val="EBEF2783"/>
    <w:rsid w:val="ECF73FF2"/>
    <w:rsid w:val="EE551324"/>
    <w:rsid w:val="EED38A74"/>
    <w:rsid w:val="EEFCE7FC"/>
    <w:rsid w:val="EFCD93CA"/>
    <w:rsid w:val="EFD484EC"/>
    <w:rsid w:val="EFEEDEA2"/>
    <w:rsid w:val="EFFB909D"/>
    <w:rsid w:val="EFFF3FD4"/>
    <w:rsid w:val="F2FF5FB5"/>
    <w:rsid w:val="F4EEEC03"/>
    <w:rsid w:val="F6373D2C"/>
    <w:rsid w:val="F75747B0"/>
    <w:rsid w:val="F75C22CE"/>
    <w:rsid w:val="F776B7BF"/>
    <w:rsid w:val="F7AF9381"/>
    <w:rsid w:val="F7B7BCCA"/>
    <w:rsid w:val="F7DD92E8"/>
    <w:rsid w:val="F7ED2D55"/>
    <w:rsid w:val="F96F22D0"/>
    <w:rsid w:val="F9EDE235"/>
    <w:rsid w:val="FAE872C5"/>
    <w:rsid w:val="FAFDFBC3"/>
    <w:rsid w:val="FB0F7AAE"/>
    <w:rsid w:val="FB9FBBF1"/>
    <w:rsid w:val="FBBF32FA"/>
    <w:rsid w:val="FBCF5E67"/>
    <w:rsid w:val="FBCF8D47"/>
    <w:rsid w:val="FBFDCC5D"/>
    <w:rsid w:val="FBFF3E58"/>
    <w:rsid w:val="FD6F600B"/>
    <w:rsid w:val="FE2F5B5A"/>
    <w:rsid w:val="FE7D9353"/>
    <w:rsid w:val="FEB7E452"/>
    <w:rsid w:val="FECDA975"/>
    <w:rsid w:val="FEEFA429"/>
    <w:rsid w:val="FEF74BD8"/>
    <w:rsid w:val="FEF9B186"/>
    <w:rsid w:val="FEFEC111"/>
    <w:rsid w:val="FEFF4A26"/>
    <w:rsid w:val="FF599AE5"/>
    <w:rsid w:val="FF5B9A42"/>
    <w:rsid w:val="FF5F1E14"/>
    <w:rsid w:val="FF722301"/>
    <w:rsid w:val="FF9C9063"/>
    <w:rsid w:val="FFBD2464"/>
    <w:rsid w:val="FFC63734"/>
    <w:rsid w:val="FFEC1714"/>
    <w:rsid w:val="FFFB6243"/>
    <w:rsid w:val="FFFE42FD"/>
    <w:rsid w:val="FFFF958B"/>
    <w:rsid w:val="FFFF9BCB"/>
    <w:rsid w:val="FFFFE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ind w:firstLine="640" w:firstLineChars="200"/>
    </w:pPr>
    <w:rPr>
      <w:rFonts w:ascii="Calibri" w:hAnsi="Calibri" w:eastAsia="仿宋"/>
      <w:sz w:val="32"/>
    </w:r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Words>
  <Characters>1406</Characters>
  <Lines>11</Lines>
  <Paragraphs>3</Paragraphs>
  <TotalTime>10</TotalTime>
  <ScaleCrop>false</ScaleCrop>
  <LinksUpToDate>false</LinksUpToDate>
  <CharactersWithSpaces>1649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2022-09-28T23:42:00Z</dcterms:created>
  <dc:creator>张恒zh</dc:creator>
  <cp:lastModifiedBy>yanlu</cp:lastModifiedBy>
  <dcterms:modified xsi:type="dcterms:W3CDTF">2025-04-25T17:12:12Z</dcterms:modified>
  <dc:title>北证办发〔2023〕X号附件2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