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北证办发〔2025〕9号附件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大标宋简体" w:cs="Times New Roman"/>
          <w:b/>
          <w:sz w:val="36"/>
          <w:szCs w:val="36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大标宋简体" w:cs="Times New Roman"/>
          <w:b/>
          <w:sz w:val="36"/>
          <w:szCs w:val="36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1040"/>
        <w:jc w:val="center"/>
        <w:rPr>
          <w:rFonts w:hint="default" w:ascii="Times New Roman" w:hAnsi="Times New Roman" w:eastAsia="仿宋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1040"/>
        <w:jc w:val="center"/>
        <w:rPr>
          <w:rFonts w:hint="default" w:ascii="Times New Roman" w:hAnsi="Times New Roman" w:eastAsia="仿宋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1040"/>
        <w:jc w:val="center"/>
        <w:rPr>
          <w:rFonts w:hint="default" w:ascii="Times New Roman" w:hAnsi="Times New Roman" w:eastAsia="仿宋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北京证券交易所</w:t>
      </w:r>
    </w:p>
    <w:p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bookmarkStart w:id="0" w:name="_Toc423685203"/>
      <w:r>
        <w:rPr>
          <w:rFonts w:hint="default" w:ascii="Times New Roman" w:hAnsi="Times New Roman" w:eastAsia="方正大标宋简体" w:cs="Times New Roman"/>
          <w:sz w:val="44"/>
          <w:szCs w:val="44"/>
        </w:rPr>
        <w:t>市场参与者技术系统变更指南</w:t>
      </w:r>
      <w:bookmarkEnd w:id="0"/>
      <w:r>
        <w:rPr>
          <w:rFonts w:hint="default" w:ascii="Times New Roman" w:hAnsi="Times New Roman" w:eastAsia="方正大标宋简体" w:cs="Times New Roman"/>
          <w:sz w:val="44"/>
          <w:szCs w:val="44"/>
        </w:rPr>
        <w:t>之</w:t>
      </w:r>
    </w:p>
    <w:p>
      <w:pPr>
        <w:pageBreakBefore w:val="0"/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指数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行情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（V1.0）</w:t>
      </w: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562"/>
        <w:rPr>
          <w:rFonts w:hint="default" w:ascii="Times New Roman" w:hAnsi="Times New Roman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723"/>
        <w:rPr>
          <w:rFonts w:hint="default" w:ascii="Times New Roman" w:hAnsi="Times New Roman" w:eastAsia="仿宋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723"/>
        <w:rPr>
          <w:rFonts w:hint="default" w:ascii="Times New Roman" w:hAnsi="Times New Roman" w:eastAsia="仿宋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tabs>
          <w:tab w:val="left" w:pos="4200"/>
        </w:tabs>
        <w:kinsoku/>
        <w:wordWrap/>
        <w:topLinePunct w:val="0"/>
        <w:bidi w:val="0"/>
        <w:spacing w:line="560" w:lineRule="exact"/>
        <w:ind w:firstLine="723"/>
        <w:rPr>
          <w:rFonts w:hint="default" w:ascii="Times New Roman" w:hAnsi="Times New Roman" w:eastAsia="仿宋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Style w:val="23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Chars="0"/>
        <w:rPr>
          <w:rFonts w:hint="default" w:ascii="Times New Roman" w:hAnsi="Times New Roman" w:eastAsia="方正大标宋简体" w:cs="Times New Roman"/>
          <w:b w:val="0"/>
          <w:sz w:val="28"/>
          <w:szCs w:val="28"/>
        </w:rPr>
      </w:pPr>
      <w:r>
        <w:rPr>
          <w:rFonts w:hint="default" w:ascii="Times New Roman" w:hAnsi="Times New Roman" w:eastAsia="方正大标宋简体" w:cs="Times New Roman"/>
          <w:b w:val="0"/>
          <w:sz w:val="28"/>
          <w:szCs w:val="28"/>
          <w:lang w:eastAsia="zh-CN"/>
        </w:rPr>
        <w:t>北京证券交易所</w:t>
      </w:r>
    </w:p>
    <w:p>
      <w:pPr>
        <w:pStyle w:val="23"/>
        <w:pageBreakBefore w:val="0"/>
        <w:kinsoku/>
        <w:wordWrap/>
        <w:topLinePunct w:val="0"/>
        <w:bidi w:val="0"/>
        <w:adjustRightInd/>
        <w:snapToGrid/>
        <w:spacing w:line="560" w:lineRule="exact"/>
        <w:ind w:firstLineChars="0"/>
        <w:rPr>
          <w:rFonts w:hint="default" w:ascii="Times New Roman" w:hAnsi="Times New Roman" w:eastAsia="方正大标宋简体" w:cs="Times New Roman"/>
          <w:b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992" w:footer="612" w:gutter="0"/>
          <w:pgNumType w:fmt="upperRoman" w:start="1"/>
          <w:cols w:space="425" w:num="1"/>
          <w:titlePg/>
          <w:docGrid w:linePitch="326" w:charSpace="0"/>
        </w:sectPr>
      </w:pPr>
      <w:r>
        <w:rPr>
          <w:rFonts w:hint="default" w:ascii="Times New Roman" w:hAnsi="Times New Roman" w:eastAsia="方正大标宋简体" w:cs="Times New Roman"/>
          <w:b w:val="0"/>
          <w:sz w:val="28"/>
          <w:szCs w:val="28"/>
        </w:rPr>
        <w:t>二〇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  <w:lang w:eastAsia="zh-CN"/>
        </w:rPr>
        <w:t>二五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</w:rPr>
        <w:t>年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方正大标宋简体" w:cs="Times New Roman"/>
          <w:b w:val="0"/>
          <w:sz w:val="28"/>
          <w:szCs w:val="28"/>
        </w:rPr>
        <w:t>月</w:t>
      </w:r>
      <w:r>
        <w:rPr>
          <w:rFonts w:hint="default" w:ascii="Times New Roman" w:hAnsi="Times New Roman" w:eastAsia="方正大标宋简体" w:cs="Times New Roman"/>
          <w:b w:val="0"/>
          <w:sz w:val="32"/>
          <w:szCs w:val="32"/>
        </w:rPr>
        <w:br w:type="page"/>
      </w:r>
    </w:p>
    <w:p>
      <w:pPr>
        <w:pStyle w:val="22"/>
        <w:pageBreakBefore w:val="0"/>
        <w:kinsoku/>
        <w:wordWrap/>
        <w:topLinePunct w:val="0"/>
        <w:bidi w:val="0"/>
        <w:spacing w:before="0"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修订历史</w:t>
      </w:r>
    </w:p>
    <w:p>
      <w:pPr>
        <w:pStyle w:val="6"/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14"/>
        <w:tblW w:w="86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540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1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修订历史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版本号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修订日期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CCCC"/>
          </w:tcPr>
          <w:p>
            <w:pPr>
              <w:pStyle w:val="21"/>
              <w:pageBreakBefore w:val="0"/>
              <w:kinsoku/>
              <w:wordWrap/>
              <w:topLinePunct w:val="0"/>
              <w:bidi w:val="0"/>
              <w:snapToGrid/>
              <w:spacing w:before="0" w:after="0"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修订说明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GB"/>
              </w:rPr>
              <w:t>V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1.0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2025.2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GB"/>
              </w:rPr>
              <w:t>创建文档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pStyle w:val="20"/>
              <w:pageBreakBefore w:val="0"/>
              <w:kinsoku/>
              <w:wordWrap/>
              <w:topLinePunct w:val="0"/>
              <w:bidi w:val="0"/>
              <w:spacing w:line="560" w:lineRule="exact"/>
              <w:ind w:firstLine="600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</w:tbl>
    <w:p>
      <w:pPr>
        <w:pStyle w:val="22"/>
        <w:pageBreakBefore w:val="0"/>
        <w:kinsoku/>
        <w:wordWrap/>
        <w:topLinePunct w:val="0"/>
        <w:bidi w:val="0"/>
        <w:spacing w:before="0" w:line="560" w:lineRule="exact"/>
        <w:rPr>
          <w:rFonts w:hint="default" w:ascii="Times New Roman" w:hAnsi="Times New Roman" w:cs="Times New Roman"/>
          <w:lang w:val="en-GB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bookmarkStart w:id="1" w:name="_Toc424131014"/>
    </w:p>
    <w:p>
      <w:pPr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br w:type="page"/>
      </w:r>
    </w:p>
    <w:p>
      <w:pPr>
        <w:pStyle w:val="22"/>
        <w:pageBreakBefore w:val="0"/>
        <w:kinsoku/>
        <w:wordWrap/>
        <w:topLinePunct w:val="0"/>
        <w:bidi w:val="0"/>
        <w:spacing w:before="0" w:line="560" w:lineRule="exact"/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>目录</w:t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Style w:val="16"/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Style w:val="16"/>
          <w:rFonts w:hint="default"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Style w:val="16"/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_Toc730127341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</w:rPr>
        <w:t>一、说明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_Toc730127341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_Toc1409877618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</w:rPr>
        <w:t>二、参考文档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_Toc1409877618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_Toc1687931593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三、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变动简述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_Toc1687931593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_Toc1563893809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新增证券长简称公告文件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_Toc1563893809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_Toc1958868205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四、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业务简述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_Toc1958868205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_Toc459004950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</w:rPr>
        <w:t>指数发布时间和对象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_Toc459004950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_Toc1466321727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（二）指数发布内容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_Toc1466321727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_Toc410028778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1. 在NQHQ（证券行情）和NQXX（证券信息）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增加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北交所指数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的条目。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_Toc410028778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8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_Toc1118716886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2. 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" w:eastAsia="zh-CN"/>
        </w:rPr>
        <w:t>yymmdd.nnn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中揭示北交所指数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长简称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_Toc1118716886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_Toc2016984299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五、 </w:t>
      </w:r>
      <w:r>
        <w:rPr>
          <w:rFonts w:hint="default" w:ascii="Times New Roman" w:hAnsi="Times New Roman" w:eastAsia="黑体" w:cs="Times New Roman"/>
          <w:sz w:val="32"/>
          <w:szCs w:val="32"/>
        </w:rPr>
        <w:t>数据接口规范修订说明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_Toc2016984299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_Toc19552324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（一）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证券信息库NQXX.DBF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_Toc19552324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_Toc1326454313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 xml:space="preserve">（二）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证券行情库NQHQ.DBF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_Toc1326454313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3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_Toc945219510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楷体" w:cs="Times New Roman"/>
          <w:sz w:val="32"/>
          <w:szCs w:val="32"/>
        </w:rPr>
        <w:t xml:space="preserve">（三） 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信息公告文件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" w:eastAsia="zh-CN"/>
        </w:rPr>
        <w:t>yymmdd.nnn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_Toc945219510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\l _Toc1337479337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、指数信息的接收与展示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_Toc1337479337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8</w:t>
      </w:r>
      <w:r>
        <w:rPr>
          <w:sz w:val="32"/>
          <w:szCs w:val="32"/>
        </w:rPr>
        <w:fldChar w:fldCharType="end"/>
      </w: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12"/>
        <w:pageBreakBefore w:val="0"/>
        <w:tabs>
          <w:tab w:val="left" w:pos="1050"/>
          <w:tab w:val="right" w:leader="dot" w:pos="8296"/>
        </w:tabs>
        <w:kinsoku/>
        <w:wordWrap/>
        <w:topLinePunct w:val="0"/>
        <w:bidi w:val="0"/>
        <w:spacing w:beforeLines="0" w:line="560" w:lineRule="exact"/>
        <w:ind w:firstLine="643"/>
        <w:rPr>
          <w:rFonts w:hint="default" w:ascii="Times New Roman" w:hAnsi="Times New Roman" w:eastAsia="方正仿宋简体" w:cs="Times New Roman"/>
          <w:b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32"/>
          <w:szCs w:val="32"/>
        </w:rPr>
        <w:fldChar w:fldCharType="end"/>
      </w:r>
    </w:p>
    <w:p>
      <w:pPr>
        <w:pStyle w:val="2"/>
        <w:pageBreakBefore w:val="0"/>
        <w:kinsoku/>
        <w:wordWrap/>
        <w:topLinePunct w:val="0"/>
        <w:bidi w:val="0"/>
        <w:spacing w:before="0" w:after="0" w:line="560" w:lineRule="exact"/>
        <w:ind w:firstLine="642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2" w:name="_Toc730127341"/>
      <w:r>
        <w:rPr>
          <w:rFonts w:hint="default" w:ascii="Times New Roman" w:hAnsi="Times New Roman" w:eastAsia="黑体" w:cs="Times New Roman"/>
          <w:sz w:val="32"/>
          <w:szCs w:val="32"/>
        </w:rPr>
        <w:t>一、说明</w:t>
      </w:r>
      <w:bookmarkEnd w:id="1"/>
      <w:bookmarkEnd w:id="2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为便于各市场参与者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和相应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IT提供商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更好地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理解接收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并揭示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指数行情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对相关技术系统的改造要求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，做好技术系统的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准备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北京证券交易所（以下简称“北交所”）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专门编制和发布本指南。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特别提示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：如果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业务制度有所变更，本文档将做相应变更。</w:t>
      </w:r>
    </w:p>
    <w:p>
      <w:pPr>
        <w:pStyle w:val="26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beforeLines="0" w:after="0" w:line="560" w:lineRule="exact"/>
        <w:ind w:left="11" w:firstLine="642" w:firstLineChars="200"/>
        <w:rPr>
          <w:rFonts w:hint="default" w:ascii="Times New Roman" w:hAnsi="Times New Roman" w:eastAsia="黑体" w:cs="Times New Roman"/>
          <w:sz w:val="32"/>
          <w:szCs w:val="32"/>
        </w:rPr>
      </w:pPr>
      <w:bookmarkStart w:id="3" w:name="_Toc530406860"/>
      <w:bookmarkStart w:id="4" w:name="_Toc1409877618"/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5" w:name="_Toc426966744"/>
      <w:r>
        <w:rPr>
          <w:rFonts w:hint="default" w:ascii="Times New Roman" w:hAnsi="Times New Roman" w:eastAsia="黑体" w:cs="Times New Roman"/>
          <w:sz w:val="32"/>
          <w:szCs w:val="32"/>
        </w:rPr>
        <w:t>参考文档</w:t>
      </w:r>
      <w:bookmarkEnd w:id="3"/>
      <w:bookmarkEnd w:id="4"/>
      <w:bookmarkEnd w:id="5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《交易支持平台数据接口规范（V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）》</w:t>
      </w:r>
    </w:p>
    <w:p>
      <w:pPr>
        <w:pStyle w:val="2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firstLine="642" w:firstLineChars="200"/>
        <w:jc w:val="left"/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CN"/>
        </w:rPr>
      </w:pPr>
      <w:bookmarkStart w:id="6" w:name="_Toc1687931593"/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eastAsia="zh-CN"/>
        </w:rPr>
        <w:t>变动简述</w:t>
      </w:r>
      <w:bookmarkEnd w:id="6"/>
    </w:p>
    <w:p>
      <w:pPr>
        <w:pStyle w:val="28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firstLine="642" w:firstLineChars="200"/>
        <w:jc w:val="both"/>
        <w:rPr>
          <w:rFonts w:hint="default" w:ascii="Times New Roman" w:hAnsi="Times New Roman" w:eastAsia="楷体" w:cs="Times New Roman"/>
          <w:color w:val="FF0000"/>
          <w:sz w:val="32"/>
          <w:szCs w:val="32"/>
          <w:lang w:eastAsia="zh-CN"/>
        </w:rPr>
      </w:pPr>
      <w:bookmarkStart w:id="7" w:name="_Toc1535968367"/>
      <w:bookmarkStart w:id="8" w:name="_Toc704206656"/>
      <w:bookmarkStart w:id="9" w:name="_Toc1125673489"/>
      <w:bookmarkStart w:id="10" w:name="_Toc814704507"/>
      <w:bookmarkStart w:id="11" w:name="_Toc827768334"/>
      <w:bookmarkStart w:id="12" w:name="_Toc1563893809"/>
      <w:r>
        <w:rPr>
          <w:rFonts w:hint="default" w:ascii="Times New Roman" w:hAnsi="Times New Roman" w:eastAsia="楷体" w:cs="Times New Roman"/>
          <w:color w:val="FF0000"/>
          <w:sz w:val="32"/>
          <w:szCs w:val="32"/>
        </w:rPr>
        <w:t>（一）</w:t>
      </w:r>
      <w:bookmarkEnd w:id="7"/>
      <w:bookmarkEnd w:id="8"/>
      <w:bookmarkEnd w:id="9"/>
      <w:bookmarkEnd w:id="10"/>
      <w:bookmarkEnd w:id="11"/>
      <w:r>
        <w:rPr>
          <w:rFonts w:hint="default" w:ascii="Times New Roman" w:hAnsi="Times New Roman" w:eastAsia="楷体" w:cs="Times New Roman"/>
          <w:color w:val="FF0000"/>
          <w:sz w:val="32"/>
          <w:szCs w:val="32"/>
          <w:lang w:eastAsia="zh-CN"/>
        </w:rPr>
        <w:t>新增证券长简称公告文件</w:t>
      </w:r>
      <w:bookmarkEnd w:id="12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新增信息公告文件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yymmdd.nnn，发布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范围为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存在简称超过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4个汉字的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，发布内容为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代码、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证券长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当指数存在长简称时，应当向市场揭示长简称。</w:t>
      </w:r>
    </w:p>
    <w:p>
      <w:pPr>
        <w:pStyle w:val="2"/>
        <w:pageBreakBefore w:val="0"/>
        <w:numPr>
          <w:numId w:val="0"/>
        </w:numPr>
        <w:kinsoku/>
        <w:wordWrap/>
        <w:topLinePunct w:val="0"/>
        <w:bidi w:val="0"/>
        <w:spacing w:before="0" w:after="0" w:line="560" w:lineRule="exact"/>
        <w:ind w:left="840" w:left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13" w:name="_Toc1089591386"/>
      <w:bookmarkStart w:id="14" w:name="_Toc1446356150"/>
      <w:bookmarkStart w:id="15" w:name="_Toc533816053"/>
      <w:bookmarkStart w:id="16" w:name="_Toc1958868205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业务简述</w:t>
      </w:r>
      <w:bookmarkEnd w:id="13"/>
      <w:bookmarkEnd w:id="14"/>
      <w:bookmarkEnd w:id="15"/>
      <w:bookmarkEnd w:id="16"/>
    </w:p>
    <w:p>
      <w:pPr>
        <w:pStyle w:val="28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firstLine="642" w:firstLineChars="200"/>
        <w:jc w:val="both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bookmarkStart w:id="17" w:name="_Toc459004950"/>
      <w:bookmarkStart w:id="18" w:name="_Toc423685211"/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指数发布时间和对象</w:t>
      </w:r>
      <w:bookmarkEnd w:id="17"/>
      <w:bookmarkEnd w:id="18"/>
    </w:p>
    <w:p>
      <w:pPr>
        <w:pStyle w:val="30"/>
        <w:pageBreakBefore w:val="0"/>
        <w:numPr>
          <w:ilvl w:val="0"/>
          <w:numId w:val="0"/>
        </w:numPr>
        <w:tabs>
          <w:tab w:val="left" w:pos="420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北交所指数委托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中证指数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代为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编制并发布。</w:t>
      </w:r>
    </w:p>
    <w:p>
      <w:pPr>
        <w:pStyle w:val="30"/>
        <w:pageBreakBefore w:val="0"/>
        <w:numPr>
          <w:ilvl w:val="0"/>
          <w:numId w:val="0"/>
        </w:numPr>
        <w:tabs>
          <w:tab w:val="left" w:pos="903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在日间（8:30-15:30）定时通过证券行情库（NQHQ）发布当日的指数行情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发布对象为全市场。</w:t>
      </w:r>
    </w:p>
    <w:p>
      <w:pPr>
        <w:pStyle w:val="30"/>
        <w:pageBreakBefore w:val="0"/>
        <w:numPr>
          <w:ilvl w:val="0"/>
          <w:numId w:val="0"/>
        </w:numPr>
        <w:tabs>
          <w:tab w:val="left" w:pos="903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在日间（8:30-15:30）通过证券信息库（NQXX）发布当日的指数信息，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发布对象为全市场，指数信息日间不更新。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420"/>
        <w:jc w:val="both"/>
        <w:rPr>
          <w:rFonts w:hint="default" w:ascii="Times New Roman" w:hAnsi="Times New Roman" w:eastAsia="方正仿宋简体" w:cs="Times New Roman"/>
        </w:rPr>
      </w:pPr>
    </w:p>
    <w:p>
      <w:pPr>
        <w:pStyle w:val="28"/>
        <w:pageBreakBefore w:val="0"/>
        <w:numPr>
          <w:ilvl w:val="0"/>
          <w:numId w:val="0"/>
        </w:numPr>
        <w:kinsoku/>
        <w:wordWrap/>
        <w:topLinePunct w:val="0"/>
        <w:bidi w:val="0"/>
        <w:spacing w:before="0" w:after="0" w:line="560" w:lineRule="exact"/>
        <w:ind w:left="420" w:leftChars="200"/>
        <w:jc w:val="both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bookmarkStart w:id="19" w:name="_Toc1466321727"/>
      <w:bookmarkStart w:id="20" w:name="_Toc423685212"/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（二）指数发布内容</w:t>
      </w:r>
      <w:bookmarkEnd w:id="19"/>
      <w:bookmarkEnd w:id="20"/>
    </w:p>
    <w:p>
      <w:pPr>
        <w:pStyle w:val="29"/>
        <w:pageBreakBefore w:val="0"/>
        <w:numPr>
          <w:ilvl w:val="0"/>
          <w:numId w:val="4"/>
        </w:numPr>
        <w:kinsoku/>
        <w:wordWrap/>
        <w:topLinePunct w:val="0"/>
        <w:bidi w:val="0"/>
        <w:spacing w:before="0" w:after="0" w:line="560" w:lineRule="exact"/>
        <w:ind w:left="0" w:firstLine="642" w:firstLineChars="200"/>
        <w:jc w:val="left"/>
        <w:rPr>
          <w:rFonts w:hint="default" w:ascii="Times New Roman" w:hAnsi="Times New Roman" w:eastAsia="方正仿宋简体" w:cs="Times New Roman"/>
          <w:szCs w:val="30"/>
        </w:rPr>
      </w:pPr>
      <w:bookmarkStart w:id="21" w:name="_Toc410028778"/>
      <w:r>
        <w:rPr>
          <w:rFonts w:hint="default" w:ascii="Times New Roman" w:hAnsi="Times New Roman" w:eastAsia="方正仿宋简体" w:cs="Times New Roman"/>
          <w:szCs w:val="30"/>
        </w:rPr>
        <w:t>在NQHQ（证券行情）和NQXX（证券信息）</w:t>
      </w:r>
      <w:r>
        <w:rPr>
          <w:rFonts w:hint="default" w:ascii="Times New Roman" w:hAnsi="Times New Roman" w:eastAsia="方正仿宋简体" w:cs="Times New Roman"/>
          <w:szCs w:val="30"/>
          <w:lang w:eastAsia="zh-CN"/>
        </w:rPr>
        <w:t>中</w:t>
      </w:r>
      <w:r>
        <w:rPr>
          <w:rFonts w:hint="default" w:ascii="Times New Roman" w:hAnsi="Times New Roman" w:eastAsia="方正仿宋简体" w:cs="Times New Roman"/>
          <w:szCs w:val="30"/>
        </w:rPr>
        <w:t>增加</w:t>
      </w:r>
      <w:r>
        <w:rPr>
          <w:rFonts w:hint="default" w:ascii="Times New Roman" w:hAnsi="Times New Roman" w:eastAsia="方正仿宋简体" w:cs="Times New Roman"/>
          <w:szCs w:val="30"/>
          <w:lang w:eastAsia="zh-CN"/>
        </w:rPr>
        <w:t>北交所指数</w:t>
      </w:r>
      <w:r>
        <w:rPr>
          <w:rFonts w:hint="default" w:ascii="Times New Roman" w:hAnsi="Times New Roman" w:eastAsia="方正仿宋简体" w:cs="Times New Roman"/>
          <w:szCs w:val="30"/>
        </w:rPr>
        <w:t>的条目。</w:t>
      </w:r>
      <w:bookmarkEnd w:id="21"/>
    </w:p>
    <w:p>
      <w:pPr>
        <w:pageBreakBefore w:val="0"/>
        <w:tabs>
          <w:tab w:val="left" w:pos="903"/>
        </w:tabs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NQHQ发布内容为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指数点位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、开盘点位、最高点位、最低点位以及上一个交易日的收盘点位，显示数据字段包括证券代码、证券简称、昨日收盘价、今日开盘价、最近成交价、成交数量、成交金额、最高成交价、最低成交价；如表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4-1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所示（表中未显示的NQHQ字段预留）。</w:t>
      </w:r>
    </w:p>
    <w:p>
      <w:pPr>
        <w:pageBreakBefore w:val="0"/>
        <w:tabs>
          <w:tab w:val="left" w:pos="420"/>
        </w:tabs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表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4-1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NQHQ中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指数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条目显示字段</w:t>
      </w:r>
    </w:p>
    <w:tbl>
      <w:tblPr>
        <w:tblStyle w:val="14"/>
        <w:tblW w:w="855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57"/>
        <w:gridCol w:w="2229"/>
        <w:gridCol w:w="3474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93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57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字段名称</w:t>
            </w:r>
          </w:p>
        </w:tc>
        <w:tc>
          <w:tcPr>
            <w:tcW w:w="2229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格式</w:t>
            </w:r>
          </w:p>
        </w:tc>
        <w:tc>
          <w:tcPr>
            <w:tcW w:w="3474" w:type="dxa"/>
            <w:tcBorders>
              <w:top w:val="double" w:color="000000" w:sz="4" w:space="0"/>
              <w:bottom w:val="double" w:color="000000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显示内容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证券代码</w:t>
            </w:r>
          </w:p>
        </w:tc>
        <w:tc>
          <w:tcPr>
            <w:tcW w:w="2229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6位数字编码</w:t>
            </w:r>
          </w:p>
        </w:tc>
        <w:tc>
          <w:tcPr>
            <w:tcW w:w="3474" w:type="dxa"/>
            <w:tcBorders>
              <w:top w:val="doub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指数代码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证券简称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8位字符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8"/>
                <w:szCs w:val="28"/>
                <w:lang w:eastAsia="zh-CN"/>
              </w:rPr>
              <w:t>短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简称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昨日收盘价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显示前一交易日收盘点位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4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今日开盘价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显示当前交易日开盘点位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最近成交价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显示最近一次盘中点位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成交数量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12位数字编码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整数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当前交易日截至行情发布时所有成份股成交总量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7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成交金额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17位数字编码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当前交易日截至行情发布时所有成份股成交总金额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最高成交价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显示当前交易日最高点位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</w:t>
            </w:r>
          </w:p>
        </w:tc>
        <w:tc>
          <w:tcPr>
            <w:tcW w:w="18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最低成交价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9位数字编码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小数点后3位</w:t>
            </w:r>
          </w:p>
        </w:tc>
        <w:tc>
          <w:tcPr>
            <w:tcW w:w="347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显示当前交易日最低点位</w:t>
            </w:r>
          </w:p>
        </w:tc>
      </w:tr>
    </w:tbl>
    <w:p>
      <w:pPr>
        <w:pageBreakBefore w:val="0"/>
        <w:tabs>
          <w:tab w:val="left" w:pos="903"/>
        </w:tabs>
        <w:kinsoku/>
        <w:wordWrap/>
        <w:topLinePunct w:val="0"/>
        <w:bidi w:val="0"/>
        <w:spacing w:line="56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NQXX显示数据字段包括证券代码、证券简称、英文简称。如表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4-2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所示（表中未显示的NQXX字段预留）。</w:t>
      </w:r>
    </w:p>
    <w:p>
      <w:pPr>
        <w:pageBreakBefore w:val="0"/>
        <w:tabs>
          <w:tab w:val="left" w:pos="420"/>
        </w:tabs>
        <w:kinsoku/>
        <w:wordWrap/>
        <w:topLinePunct w:val="0"/>
        <w:bidi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表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4-2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 NQXX中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" w:eastAsia="zh-CN"/>
        </w:rPr>
        <w:t>北交所指数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条目显示字段</w:t>
      </w:r>
    </w:p>
    <w:tbl>
      <w:tblPr>
        <w:tblStyle w:val="14"/>
        <w:tblW w:w="7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414"/>
        <w:gridCol w:w="2229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14" w:type="dxa"/>
            <w:tcBorders>
              <w:top w:val="double" w:color="auto" w:sz="4" w:space="0"/>
              <w:bottom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字段名称</w:t>
            </w:r>
          </w:p>
        </w:tc>
        <w:tc>
          <w:tcPr>
            <w:tcW w:w="2229" w:type="dxa"/>
            <w:tcBorders>
              <w:top w:val="double" w:color="auto" w:sz="4" w:space="0"/>
              <w:bottom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格式</w:t>
            </w:r>
          </w:p>
        </w:tc>
        <w:tc>
          <w:tcPr>
            <w:tcW w:w="3038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C0C0C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显示内容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top w:val="nil"/>
              <w:lef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证券代码</w:t>
            </w:r>
          </w:p>
        </w:tc>
        <w:tc>
          <w:tcPr>
            <w:tcW w:w="2229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6位数字编码</w:t>
            </w:r>
          </w:p>
        </w:tc>
        <w:tc>
          <w:tcPr>
            <w:tcW w:w="3038" w:type="dxa"/>
            <w:tcBorders>
              <w:top w:val="nil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证券简称</w:t>
            </w:r>
          </w:p>
        </w:tc>
        <w:tc>
          <w:tcPr>
            <w:tcW w:w="2229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8位字符</w:t>
            </w:r>
          </w:p>
        </w:tc>
        <w:tc>
          <w:tcPr>
            <w:tcW w:w="3038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指数</w:t>
            </w:r>
            <w:r>
              <w:rPr>
                <w:rFonts w:hint="default" w:ascii="Times New Roman" w:hAnsi="Times New Roman" w:eastAsia="方正仿宋简体" w:cs="Times New Roman"/>
                <w:color w:val="FF0000"/>
                <w:sz w:val="28"/>
                <w:szCs w:val="28"/>
                <w:lang w:eastAsia="zh-CN"/>
              </w:rPr>
              <w:t>短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英文简称</w:t>
            </w:r>
          </w:p>
        </w:tc>
        <w:tc>
          <w:tcPr>
            <w:tcW w:w="2229" w:type="dxa"/>
            <w:tcBorders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20位字符</w:t>
            </w:r>
          </w:p>
        </w:tc>
        <w:tc>
          <w:tcPr>
            <w:tcW w:w="3038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pStyle w:val="29"/>
        <w:pageBreakBefore w:val="0"/>
        <w:numPr>
          <w:ilvl w:val="0"/>
          <w:numId w:val="4"/>
        </w:numPr>
        <w:kinsoku/>
        <w:wordWrap/>
        <w:topLinePunct w:val="0"/>
        <w:bidi w:val="0"/>
        <w:spacing w:before="0" w:after="0" w:line="560" w:lineRule="exact"/>
        <w:ind w:left="0" w:firstLine="642" w:firstLineChars="200"/>
        <w:jc w:val="left"/>
        <w:rPr>
          <w:rFonts w:hint="default" w:ascii="Times New Roman" w:hAnsi="Times New Roman" w:eastAsia="方正仿宋简体" w:cs="Times New Roman"/>
          <w:color w:val="FF0000"/>
          <w:szCs w:val="30"/>
        </w:rPr>
      </w:pPr>
      <w:bookmarkStart w:id="22" w:name="_Toc1118716886"/>
      <w:r>
        <w:rPr>
          <w:rFonts w:hint="default" w:ascii="Times New Roman" w:hAnsi="Times New Roman" w:eastAsia="方正仿宋简体" w:cs="Times New Roman"/>
          <w:color w:val="FF0000"/>
          <w:szCs w:val="30"/>
        </w:rPr>
        <w:t>在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val="en" w:eastAsia="zh-CN"/>
        </w:rPr>
        <w:t>yymmdd.nnn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eastAsia="zh-CN"/>
        </w:rPr>
        <w:t>中揭示北交所指数</w:t>
      </w:r>
      <w:r>
        <w:rPr>
          <w:rFonts w:hint="default" w:ascii="Times New Roman" w:hAnsi="Times New Roman" w:eastAsia="方正仿宋简体" w:cs="Times New Roman"/>
          <w:color w:val="FF0000"/>
          <w:szCs w:val="30"/>
        </w:rPr>
        <w:t>的</w:t>
      </w:r>
      <w:r>
        <w:rPr>
          <w:rFonts w:hint="default" w:ascii="Times New Roman" w:hAnsi="Times New Roman" w:eastAsia="方正仿宋简体" w:cs="Times New Roman"/>
          <w:color w:val="FF0000"/>
          <w:szCs w:val="30"/>
          <w:lang w:eastAsia="zh-CN"/>
        </w:rPr>
        <w:t>长简称</w:t>
      </w:r>
      <w:r>
        <w:rPr>
          <w:rFonts w:hint="default" w:ascii="Times New Roman" w:hAnsi="Times New Roman" w:eastAsia="方正仿宋简体" w:cs="Times New Roman"/>
          <w:color w:val="FF0000"/>
          <w:szCs w:val="30"/>
        </w:rPr>
        <w:t>。</w:t>
      </w:r>
      <w:bookmarkEnd w:id="22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信息公告文件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yymmdd.nnn，发布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范围为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存在简称超过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  <w:t>4个汉字的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，发布内容为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代码、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  <w:lang w:eastAsia="zh-CN"/>
        </w:rPr>
        <w:t>证券长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  <w:t>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FF0000"/>
          <w:sz w:val="32"/>
          <w:szCs w:val="32"/>
          <w:lang w:eastAsia="zh-CN"/>
        </w:rPr>
        <w:t>当指数存在长简称时，应当向市场揭示长简称。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pageBreakBefore w:val="0"/>
        <w:numPr>
          <w:numId w:val="0"/>
        </w:numPr>
        <w:kinsoku/>
        <w:wordWrap/>
        <w:topLinePunct w:val="0"/>
        <w:bidi w:val="0"/>
        <w:spacing w:before="0" w:after="0" w:line="560" w:lineRule="exact"/>
        <w:ind w:left="840" w:leftChars="0"/>
        <w:jc w:val="both"/>
        <w:rPr>
          <w:rFonts w:hint="default" w:ascii="Times New Roman" w:hAnsi="Times New Roman" w:eastAsia="黑体" w:cs="Times New Roman"/>
          <w:b w:val="0"/>
          <w:sz w:val="32"/>
          <w:szCs w:val="30"/>
        </w:rPr>
      </w:pPr>
      <w:bookmarkStart w:id="23" w:name="_Toc84428381"/>
      <w:bookmarkStart w:id="24" w:name="_Toc990927056"/>
      <w:bookmarkStart w:id="25" w:name="_Toc802213602"/>
      <w:bookmarkStart w:id="26" w:name="_Toc849535302"/>
      <w:bookmarkStart w:id="27" w:name="_Toc2016984299"/>
      <w:r>
        <w:rPr>
          <w:rFonts w:hint="eastAsia" w:ascii="Times New Roman" w:hAnsi="Times New Roman" w:eastAsia="黑体" w:cs="Times New Roman"/>
          <w:b w:val="0"/>
          <w:sz w:val="32"/>
          <w:szCs w:val="30"/>
          <w:lang w:eastAsia="zh-CN"/>
        </w:rPr>
        <w:t>五、</w:t>
      </w:r>
      <w:bookmarkStart w:id="39" w:name="_GoBack"/>
      <w:bookmarkEnd w:id="39"/>
      <w:r>
        <w:rPr>
          <w:rFonts w:hint="default" w:ascii="Times New Roman" w:hAnsi="Times New Roman" w:eastAsia="黑体" w:cs="Times New Roman"/>
          <w:b w:val="0"/>
          <w:sz w:val="32"/>
          <w:szCs w:val="30"/>
        </w:rPr>
        <w:t>数据接口规范修订说明</w:t>
      </w:r>
      <w:bookmarkEnd w:id="23"/>
      <w:bookmarkEnd w:id="24"/>
      <w:bookmarkEnd w:id="25"/>
      <w:bookmarkEnd w:id="26"/>
      <w:bookmarkEnd w:id="27"/>
    </w:p>
    <w:p>
      <w:pPr>
        <w:pStyle w:val="28"/>
        <w:pageBreakBefore w:val="0"/>
        <w:numPr>
          <w:ilvl w:val="0"/>
          <w:numId w:val="5"/>
        </w:numPr>
        <w:kinsoku/>
        <w:wordWrap/>
        <w:topLinePunct w:val="0"/>
        <w:bidi w:val="0"/>
        <w:spacing w:before="0" w:after="0" w:line="560" w:lineRule="exact"/>
        <w:ind w:left="0" w:firstLine="640" w:firstLineChars="200"/>
        <w:jc w:val="both"/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bookmarkStart w:id="28" w:name="_Toc423685214"/>
      <w:bookmarkStart w:id="29" w:name="_Toc19552324"/>
      <w:r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val="en-US" w:eastAsia="zh-CN"/>
        </w:rPr>
        <w:t>证券信息库NQXX.DBF</w:t>
      </w:r>
      <w:bookmarkEnd w:id="28"/>
      <w:bookmarkEnd w:id="29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（1）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证券级别‘’，通过XXZQJB（字段35：证券级别）识别，用于标识该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条目是指数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（2）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证券代码分段“8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99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”，用于识别该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条目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是属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指数。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本库第一条记录中的XXSLDW（字段22：卖数量单位）存放当日挂牌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"/>
        </w:rPr>
        <w:t>/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" w:eastAsia="zh-CN"/>
        </w:rPr>
        <w:t>上市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证券数量，包含当日发布的指数数量。</w:t>
      </w:r>
    </w:p>
    <w:p>
      <w:pPr>
        <w:pStyle w:val="28"/>
        <w:pageBreakBefore w:val="0"/>
        <w:numPr>
          <w:ilvl w:val="0"/>
          <w:numId w:val="5"/>
        </w:numPr>
        <w:kinsoku/>
        <w:wordWrap/>
        <w:topLinePunct w:val="0"/>
        <w:bidi w:val="0"/>
        <w:spacing w:before="0" w:after="0" w:line="560" w:lineRule="exact"/>
        <w:ind w:left="0" w:firstLine="640" w:firstLineChars="200"/>
        <w:jc w:val="both"/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eastAsia="zh-CN"/>
        </w:rPr>
      </w:pPr>
      <w:bookmarkStart w:id="30" w:name="_Toc1326454313"/>
      <w:bookmarkStart w:id="31" w:name="_Toc423685215"/>
      <w:r>
        <w:rPr>
          <w:rFonts w:hint="default" w:ascii="Times New Roman" w:hAnsi="Times New Roman" w:eastAsia="楷体" w:cs="Times New Roman"/>
          <w:b w:val="0"/>
          <w:color w:val="auto"/>
          <w:sz w:val="32"/>
          <w:szCs w:val="32"/>
          <w:highlight w:val="none"/>
          <w:lang w:eastAsia="zh-CN"/>
        </w:rPr>
        <w:t>证券行情库NQHQ.DBF</w:t>
      </w:r>
      <w:bookmarkEnd w:id="30"/>
      <w:bookmarkEnd w:id="31"/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）使用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本库第一条记录中的HQZRSP（字段3：昨日收盘价），存放“指数因子”。 当本库的记录为指数记录时（HQZQDM最左三位为899），在证券代码、证券简称、昨日收盘价、今日开盘价、最近成交价、成交数量、成交金额、最高成交价、最低成交价字段揭示相应的指数信息，其中HQZRSP、HQJRKP、HQZJCJ、HQCJSL、HQCJJE、HQZGCJ、HQZDCJ等都必须乘上“指数因子”，计算出的结果才为实际的指数值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（2）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证券代码分段“8</w:t>
      </w:r>
      <w:r>
        <w:rPr>
          <w:rFonts w:hint="default" w:ascii="Times New Roman" w:hAnsi="Times New Roman" w:eastAsia="方正仿宋简体" w:cs="Times New Roman"/>
          <w:sz w:val="32"/>
          <w:szCs w:val="30"/>
          <w:lang w:val="en-US" w:eastAsia="zh-CN"/>
        </w:rPr>
        <w:t>99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”，用于识别该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条目</w:t>
      </w:r>
      <w:r>
        <w:rPr>
          <w:rFonts w:hint="default" w:ascii="Times New Roman" w:hAnsi="Times New Roman" w:eastAsia="方正仿宋简体" w:cs="Times New Roman"/>
          <w:sz w:val="32"/>
          <w:szCs w:val="30"/>
        </w:rPr>
        <w:t>是属</w:t>
      </w:r>
      <w:r>
        <w:rPr>
          <w:rFonts w:hint="default" w:ascii="Times New Roman" w:hAnsi="Times New Roman" w:eastAsia="方正仿宋简体" w:cs="Times New Roman"/>
          <w:sz w:val="32"/>
          <w:szCs w:val="30"/>
          <w:lang w:eastAsia="zh-CN"/>
        </w:rPr>
        <w:t>指数。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0"/>
        </w:rPr>
      </w:pPr>
      <w:r>
        <w:rPr>
          <w:rFonts w:hint="default" w:ascii="Times New Roman" w:hAnsi="Times New Roman" w:eastAsia="方正仿宋简体" w:cs="Times New Roman"/>
          <w:sz w:val="32"/>
          <w:szCs w:val="30"/>
        </w:rPr>
        <w:t>（3）若无法获取本轮指数行情，则各字段揭示的值为0。若获取的指数行情的值超过本库能揭示的最大值，则将揭示的值置为该字段支持的最大数值。</w:t>
      </w:r>
    </w:p>
    <w:p>
      <w:pPr>
        <w:pStyle w:val="28"/>
        <w:pageBreakBefore w:val="0"/>
        <w:numPr>
          <w:ilvl w:val="0"/>
          <w:numId w:val="5"/>
        </w:numPr>
        <w:kinsoku/>
        <w:wordWrap/>
        <w:topLinePunct w:val="0"/>
        <w:bidi w:val="0"/>
        <w:spacing w:before="0" w:after="0" w:line="560" w:lineRule="exact"/>
        <w:ind w:left="0" w:firstLine="640" w:firstLineChars="200"/>
        <w:jc w:val="both"/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</w:rPr>
      </w:pPr>
      <w:bookmarkStart w:id="32" w:name="_Toc131858917"/>
      <w:bookmarkStart w:id="33" w:name="_Toc1326314084"/>
      <w:bookmarkStart w:id="34" w:name="_Toc34510826"/>
      <w:bookmarkStart w:id="35" w:name="_Toc772665657"/>
      <w:bookmarkStart w:id="36" w:name="_Toc1133423507"/>
      <w:bookmarkStart w:id="37" w:name="_Toc945219510"/>
      <w:r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  <w:lang w:eastAsia="zh-CN"/>
        </w:rPr>
        <w:t>信息公告文件</w:t>
      </w:r>
      <w:r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  <w:lang w:val="en-US" w:eastAsia="zh-CN"/>
        </w:rPr>
        <w:t>JC</w:t>
      </w:r>
      <w:r>
        <w:rPr>
          <w:rFonts w:hint="default" w:ascii="Times New Roman" w:hAnsi="Times New Roman" w:eastAsia="楷体" w:cs="Times New Roman"/>
          <w:b w:val="0"/>
          <w:color w:val="FF0000"/>
          <w:sz w:val="32"/>
          <w:szCs w:val="32"/>
          <w:highlight w:val="none"/>
          <w:lang w:val="en" w:eastAsia="zh-CN"/>
        </w:rPr>
        <w:t>yymmdd.nnn</w:t>
      </w:r>
      <w:bookmarkEnd w:id="32"/>
      <w:bookmarkEnd w:id="33"/>
      <w:bookmarkEnd w:id="34"/>
      <w:bookmarkEnd w:id="35"/>
      <w:bookmarkEnd w:id="36"/>
      <w:bookmarkEnd w:id="37"/>
    </w:p>
    <w:p>
      <w:pPr>
        <w:pageBreakBefore w:val="0"/>
        <w:numPr>
          <w:ilvl w:val="0"/>
          <w:numId w:val="6"/>
        </w:numPr>
        <w:kinsoku/>
        <w:wordWrap/>
        <w:topLinePunct w:val="0"/>
        <w:bidi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信息公告文件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yymmdd.nnn。</w:t>
      </w:r>
    </w:p>
    <w:p>
      <w:pPr>
        <w:pStyle w:val="3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1280" w:firstLineChars="4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其中，类型前缀“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”表示“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北交所证券长简称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信息”。</w:t>
      </w:r>
    </w:p>
    <w:p>
      <w:pPr>
        <w:pStyle w:val="30"/>
        <w:pageBreakBefore w:val="0"/>
        <w:numPr>
          <w:ilvl w:val="0"/>
          <w:numId w:val="6"/>
        </w:numPr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公告文件示例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</w:rPr>
        <w:t>示例：</w:t>
      </w:r>
      <w:r>
        <w:rPr>
          <w:rFonts w:hint="default" w:ascii="Times New Roman" w:hAnsi="Times New Roman" w:eastAsia="方正仿宋简体" w:cs="Times New Roman"/>
          <w:b/>
          <w:color w:val="FF0000"/>
          <w:kern w:val="0"/>
          <w:sz w:val="32"/>
          <w:szCs w:val="32"/>
          <w:lang w:val="en-US" w:eastAsia="zh-CN"/>
        </w:rPr>
        <w:t>JC</w:t>
      </w:r>
      <w:r>
        <w:rPr>
          <w:rFonts w:hint="default" w:ascii="Times New Roman" w:hAnsi="Times New Roman" w:eastAsia="方正仿宋简体" w:cs="Times New Roman"/>
          <w:b/>
          <w:bCs/>
          <w:color w:val="FF0000"/>
          <w:kern w:val="0"/>
          <w:sz w:val="32"/>
          <w:szCs w:val="32"/>
          <w:lang w:val="en"/>
        </w:rPr>
        <w:t>250219</w:t>
      </w:r>
      <w:r>
        <w:rPr>
          <w:rFonts w:hint="default" w:ascii="Times New Roman" w:hAnsi="Times New Roman" w:eastAsia="方正仿宋简体" w:cs="Times New Roman"/>
          <w:b/>
          <w:bCs/>
          <w:color w:val="FF0000"/>
          <w:kern w:val="0"/>
          <w:sz w:val="32"/>
          <w:szCs w:val="32"/>
        </w:rPr>
        <w:t>.001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发送日期: 20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"/>
        </w:rPr>
        <w:t>250219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发送时间: 08:30:00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 xml:space="preserve">信息类型: 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eastAsia="zh-CN"/>
        </w:rPr>
        <w:t>北交所证券长简称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信息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消息来源: 北京证券交易所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主标题:北京证券交易所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信息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 xml:space="preserve">副标题: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 xml:space="preserve">主题词: 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信息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TAG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899999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|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  <w:t>北证指数长简称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920999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  <w:t>|北证股票长简称</w:t>
      </w:r>
    </w:p>
    <w:p>
      <w:pPr>
        <w:pageBreakBefore w:val="0"/>
        <w:kinsoku/>
        <w:wordWrap/>
        <w:topLinePunct w:val="0"/>
        <w:bidi w:val="0"/>
        <w:spacing w:line="560" w:lineRule="exact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END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200"/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kern w:val="0"/>
          <w:sz w:val="32"/>
          <w:szCs w:val="32"/>
        </w:rPr>
        <w:t>（注：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"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信息的发布内容包括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代码、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证券长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信息的信息公告文件的正文分为四段：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首行为数据区开始标签TAG；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次行为本次发布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存在长简称的证券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的总数；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第三行开始按行揭示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证券长简称信息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，每只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证券及对应长简称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用一行揭示，按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证券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代码从小到大的顺序排列，各字段之间用“|”分隔。</w:t>
      </w:r>
    </w:p>
    <w:p>
      <w:pPr>
        <w:pStyle w:val="30"/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560" w:lineRule="exact"/>
        <w:ind w:firstLineChars="0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最末一行为数据区结束标签END。)</w:t>
      </w:r>
    </w:p>
    <w:p>
      <w:pPr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ind w:leftChars="0"/>
        <w:rPr>
          <w:rFonts w:hint="default" w:ascii="Times New Roman" w:hAnsi="Times New Roman" w:cs="Times New Roman"/>
        </w:rPr>
      </w:pPr>
    </w:p>
    <w:p>
      <w:pPr>
        <w:pStyle w:val="2"/>
        <w:pageBreakBefore w:val="0"/>
        <w:kinsoku/>
        <w:wordWrap/>
        <w:topLinePunct w:val="0"/>
        <w:bidi w:val="0"/>
        <w:spacing w:before="0" w:after="0"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38" w:name="_Toc1337479337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、指数信息的接收与展示</w:t>
      </w:r>
      <w:bookmarkEnd w:id="38"/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（一）通过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行情通道接收指数行情，指数行情应自适应支持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指数的展示。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  <w:t>（二）当指数存在长简称时，应当向市场揭示长简称。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指数在每个交易日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日间通过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行情文件（NQHQ）中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实时展示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）关于新增指数历史行情数据的追溯：在新增指数正式发布前，中证指数将下发历史行情数据给行情商，请行情商接收、追溯并展示每只新增指数的历史行情数据。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4D4D4D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）应支持每只指数所含所有样本股的行情展示，样本股清单以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官网公布为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准（指数样本股清单在官网位置为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instrText xml:space="preserve"> HYPERLINK "http://v2.neeq.com.cn/" </w:instrTex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首页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instrText xml:space="preserve"> HYPERLINK "http://v2.neeq.com.cn/nq/neeqindex.html" </w:instrTex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" w:eastAsia="zh-CN"/>
        </w:rPr>
        <w:t>北证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指数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&gt;指数页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" w:eastAsia="zh-CN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成份股列表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）。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样本股行情揭示界面应包含的要素包括但不限于：证券代码、证券简称、昨日收盘价、今日开盘价、最近成交价、涨跌幅、成交数量、成交金额等。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对于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连续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竞价股票，应分别揭示最近成交价、参考成交价和最近成交情况。如果该轮行情有参考成交价，需揭示参考成交价、匹配量、未匹配量；如果没有参考成交价，需揭示最优一档买卖盘。分时信息中应明确区分参考成交价和最近成交价。</w:t>
      </w:r>
    </w:p>
    <w:p>
      <w:pPr>
        <w:pageBreakBefore w:val="0"/>
        <w:kinsoku/>
        <w:wordWrap/>
        <w:topLinePunct w:val="0"/>
        <w:bidi w:val="0"/>
        <w:spacing w:line="560" w:lineRule="exact"/>
        <w:ind w:firstLine="56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建议金融终端新增或调整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综合屏，能够自适应展示新增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北交所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指数行情信息；单击每只指数展示所包含的所有样本股行情信息；点击每只样本股展示该只股票行情走势；支持展示滚动新闻。</w:t>
      </w:r>
    </w:p>
    <w:p>
      <w:pPr>
        <w:pageBreakBefore w:val="0"/>
        <w:kinsoku/>
        <w:wordWrap/>
        <w:topLinePunct w:val="0"/>
        <w:bidi w:val="0"/>
        <w:spacing w:line="560" w:lineRule="exact"/>
        <w:ind w:left="-424" w:leftChars="-202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2190" w:firstLineChars="730"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ageBreakBefore w:val="0"/>
        <w:kinsoku/>
        <w:wordWrap/>
        <w:topLinePunct w:val="0"/>
        <w:bidi w:val="0"/>
        <w:spacing w:line="560" w:lineRule="exact"/>
        <w:ind w:firstLine="4281" w:firstLineChars="1338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</w:pPr>
  </w:p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</w:pPr>
  </w:p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I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  <w:jc w:val="right"/>
    </w:pPr>
  </w:p>
  <w:p>
    <w:pPr>
      <w:pStyle w:val="10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adjustRightInd w:val="0"/>
      <w:spacing w:before="120" w:after="100" w:afterAutospacing="1" w:line="0" w:lineRule="atLeast"/>
      <w:jc w:val="right"/>
    </w:pPr>
    <w:r>
      <w:rPr>
        <w:b/>
        <w:sz w:val="24"/>
        <w:szCs w:val="24"/>
      </w:rP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wordWrap w:val="0"/>
      <w:spacing w:before="120" w:line="0" w:lineRule="atLeast"/>
      <w:jc w:val="right"/>
    </w:pPr>
  </w:p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adjustRightInd w:val="0"/>
      <w:spacing w:before="120" w:after="100" w:afterAutospacing="1" w:line="360" w:lineRule="auto"/>
      <w:ind w:left="5040" w:hanging="5059" w:hangingChars="2100"/>
      <w:jc w:val="right"/>
      <w:rPr>
        <w:b/>
      </w:rPr>
    </w:pPr>
    <w:r>
      <w:rPr>
        <w:rFonts w:hint="eastAsia"/>
        <w:b/>
        <w:sz w:val="24"/>
        <w:szCs w:val="24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thickThinSmallGap" w:color="823B0B" w:themeColor="accent2" w:themeShade="7F" w:sz="24" w:space="0"/>
      </w:pBdr>
      <w:adjustRightInd w:val="0"/>
      <w:spacing w:before="120" w:after="100" w:afterAutospacing="1" w:line="360" w:lineRule="auto"/>
      <w:ind w:left="5040" w:hanging="5059" w:hangingChars="2100"/>
      <w:jc w:val="right"/>
      <w:rPr>
        <w:b/>
      </w:rPr>
    </w:pPr>
    <w:r>
      <w:rPr>
        <w:rFonts w:hint="eastAsi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14489"/>
    <w:multiLevelType w:val="multilevel"/>
    <w:tmpl w:val="3B514489"/>
    <w:lvl w:ilvl="0" w:tentative="0">
      <w:start w:val="1"/>
      <w:numFmt w:val="chineseCountingThousand"/>
      <w:pStyle w:val="26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default" w:asciiTheme="minorHAnsi" w:hAnsiTheme="minorHAnsi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default" w:asciiTheme="minorHAnsi" w:hAnsiTheme="minorHAnsi"/>
      </w:rPr>
    </w:lvl>
    <w:lvl w:ilvl="4" w:tentative="0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3223558"/>
    <w:multiLevelType w:val="multilevel"/>
    <w:tmpl w:val="43223558"/>
    <w:lvl w:ilvl="0" w:tentative="0">
      <w:start w:val="1"/>
      <w:numFmt w:val="decimal"/>
      <w:pStyle w:val="29"/>
      <w:lvlText w:val="2.1.%1"/>
      <w:lvlJc w:val="left"/>
      <w:pPr>
        <w:ind w:left="420" w:hanging="420"/>
      </w:pPr>
      <w:rPr>
        <w:rFonts w:hint="eastAsia" w:eastAsia="宋体" w:asciiTheme="majorEastAsia" w:hAnsiTheme="maj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903B0C"/>
    <w:multiLevelType w:val="multilevel"/>
    <w:tmpl w:val="46903B0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63248D"/>
    <w:multiLevelType w:val="multilevel"/>
    <w:tmpl w:val="5B63248D"/>
    <w:lvl w:ilvl="0" w:tentative="0">
      <w:start w:val="1"/>
      <w:numFmt w:val="decimal"/>
      <w:pStyle w:val="28"/>
      <w:lvlText w:val="3.%1"/>
      <w:lvlJc w:val="left"/>
      <w:pPr>
        <w:ind w:left="420" w:hanging="420"/>
      </w:pPr>
      <w:rPr>
        <w:rFonts w:hint="default" w:eastAsia="宋体" w:asciiTheme="majorEastAsia" w:hAnsiTheme="maj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7BA709"/>
    <w:multiLevelType w:val="singleLevel"/>
    <w:tmpl w:val="6E7BA709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7F1E6561"/>
    <w:multiLevelType w:val="multilevel"/>
    <w:tmpl w:val="7F1E6561"/>
    <w:lvl w:ilvl="0" w:tentative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85"/>
    <w:rsid w:val="0003167B"/>
    <w:rsid w:val="000507E7"/>
    <w:rsid w:val="00064F4B"/>
    <w:rsid w:val="00067ADF"/>
    <w:rsid w:val="0008473C"/>
    <w:rsid w:val="000B1DA9"/>
    <w:rsid w:val="000B5B71"/>
    <w:rsid w:val="000C26EE"/>
    <w:rsid w:val="000C7112"/>
    <w:rsid w:val="000E28C8"/>
    <w:rsid w:val="000E7731"/>
    <w:rsid w:val="000F5574"/>
    <w:rsid w:val="0010479E"/>
    <w:rsid w:val="00116019"/>
    <w:rsid w:val="001220F0"/>
    <w:rsid w:val="00130319"/>
    <w:rsid w:val="001318CE"/>
    <w:rsid w:val="0014181C"/>
    <w:rsid w:val="00154601"/>
    <w:rsid w:val="00161C9E"/>
    <w:rsid w:val="001626ED"/>
    <w:rsid w:val="001A0788"/>
    <w:rsid w:val="001B585B"/>
    <w:rsid w:val="001D3CF9"/>
    <w:rsid w:val="001D76CA"/>
    <w:rsid w:val="001F0AFE"/>
    <w:rsid w:val="001F7BE0"/>
    <w:rsid w:val="00214DB7"/>
    <w:rsid w:val="002217E1"/>
    <w:rsid w:val="00246829"/>
    <w:rsid w:val="00261E79"/>
    <w:rsid w:val="002826A8"/>
    <w:rsid w:val="002A1AC3"/>
    <w:rsid w:val="002B2D39"/>
    <w:rsid w:val="002B3100"/>
    <w:rsid w:val="002B384E"/>
    <w:rsid w:val="002D6A3F"/>
    <w:rsid w:val="002E1F7C"/>
    <w:rsid w:val="002E4A2C"/>
    <w:rsid w:val="002F0AF7"/>
    <w:rsid w:val="003120C1"/>
    <w:rsid w:val="0032202B"/>
    <w:rsid w:val="00341FEE"/>
    <w:rsid w:val="00343EAE"/>
    <w:rsid w:val="003504FA"/>
    <w:rsid w:val="00351356"/>
    <w:rsid w:val="00355975"/>
    <w:rsid w:val="00360398"/>
    <w:rsid w:val="00362A5B"/>
    <w:rsid w:val="0038047D"/>
    <w:rsid w:val="0039047C"/>
    <w:rsid w:val="003B6845"/>
    <w:rsid w:val="003C0F08"/>
    <w:rsid w:val="003C1A4D"/>
    <w:rsid w:val="003D0C6F"/>
    <w:rsid w:val="003D36F4"/>
    <w:rsid w:val="003D5D6A"/>
    <w:rsid w:val="003E6FD9"/>
    <w:rsid w:val="003F49A4"/>
    <w:rsid w:val="004024E2"/>
    <w:rsid w:val="00407DF1"/>
    <w:rsid w:val="00414864"/>
    <w:rsid w:val="00415E86"/>
    <w:rsid w:val="00474033"/>
    <w:rsid w:val="004A1AAC"/>
    <w:rsid w:val="004B27C0"/>
    <w:rsid w:val="00512FD1"/>
    <w:rsid w:val="00523316"/>
    <w:rsid w:val="00542E89"/>
    <w:rsid w:val="0054718A"/>
    <w:rsid w:val="005546FC"/>
    <w:rsid w:val="0058343D"/>
    <w:rsid w:val="00585F8B"/>
    <w:rsid w:val="00592E1B"/>
    <w:rsid w:val="005949E4"/>
    <w:rsid w:val="005B3C83"/>
    <w:rsid w:val="005B46DB"/>
    <w:rsid w:val="005D568C"/>
    <w:rsid w:val="005F3C28"/>
    <w:rsid w:val="005F7D21"/>
    <w:rsid w:val="00606C51"/>
    <w:rsid w:val="00617E2B"/>
    <w:rsid w:val="00620FBE"/>
    <w:rsid w:val="006313DB"/>
    <w:rsid w:val="00640BA7"/>
    <w:rsid w:val="0065292B"/>
    <w:rsid w:val="006918E0"/>
    <w:rsid w:val="006919F4"/>
    <w:rsid w:val="006A7204"/>
    <w:rsid w:val="006B0BE1"/>
    <w:rsid w:val="006D4E86"/>
    <w:rsid w:val="006E59E4"/>
    <w:rsid w:val="00742793"/>
    <w:rsid w:val="00744DA4"/>
    <w:rsid w:val="00752CD1"/>
    <w:rsid w:val="00756EE1"/>
    <w:rsid w:val="007636FB"/>
    <w:rsid w:val="0078415B"/>
    <w:rsid w:val="007C45F4"/>
    <w:rsid w:val="007D2F03"/>
    <w:rsid w:val="007D5A08"/>
    <w:rsid w:val="007E155F"/>
    <w:rsid w:val="00805E88"/>
    <w:rsid w:val="008757E2"/>
    <w:rsid w:val="008B6D41"/>
    <w:rsid w:val="00901036"/>
    <w:rsid w:val="00901D7C"/>
    <w:rsid w:val="00905927"/>
    <w:rsid w:val="0090645E"/>
    <w:rsid w:val="00922C03"/>
    <w:rsid w:val="00925D93"/>
    <w:rsid w:val="00927FB1"/>
    <w:rsid w:val="00932C65"/>
    <w:rsid w:val="00970ADF"/>
    <w:rsid w:val="00974F15"/>
    <w:rsid w:val="009826EC"/>
    <w:rsid w:val="00A21D85"/>
    <w:rsid w:val="00A60736"/>
    <w:rsid w:val="00A62CE1"/>
    <w:rsid w:val="00A65DC5"/>
    <w:rsid w:val="00A74AAC"/>
    <w:rsid w:val="00A80455"/>
    <w:rsid w:val="00A9744E"/>
    <w:rsid w:val="00AA7AF1"/>
    <w:rsid w:val="00AB0093"/>
    <w:rsid w:val="00AD75EA"/>
    <w:rsid w:val="00AF1FE7"/>
    <w:rsid w:val="00AF4D2F"/>
    <w:rsid w:val="00B02A70"/>
    <w:rsid w:val="00B03EA0"/>
    <w:rsid w:val="00B26E7A"/>
    <w:rsid w:val="00B326AE"/>
    <w:rsid w:val="00B42FCB"/>
    <w:rsid w:val="00B54103"/>
    <w:rsid w:val="00B54BAF"/>
    <w:rsid w:val="00B560FA"/>
    <w:rsid w:val="00B63411"/>
    <w:rsid w:val="00B6602C"/>
    <w:rsid w:val="00B764E8"/>
    <w:rsid w:val="00B81B60"/>
    <w:rsid w:val="00B839A1"/>
    <w:rsid w:val="00B841A6"/>
    <w:rsid w:val="00B863E8"/>
    <w:rsid w:val="00B91808"/>
    <w:rsid w:val="00BA031C"/>
    <w:rsid w:val="00BB7C9F"/>
    <w:rsid w:val="00BC2A02"/>
    <w:rsid w:val="00BC471C"/>
    <w:rsid w:val="00BC7D7C"/>
    <w:rsid w:val="00BD113F"/>
    <w:rsid w:val="00BE042C"/>
    <w:rsid w:val="00BF48E8"/>
    <w:rsid w:val="00BF63C2"/>
    <w:rsid w:val="00C10782"/>
    <w:rsid w:val="00C30308"/>
    <w:rsid w:val="00C33E24"/>
    <w:rsid w:val="00C34B1E"/>
    <w:rsid w:val="00C37966"/>
    <w:rsid w:val="00C530E4"/>
    <w:rsid w:val="00C57B4B"/>
    <w:rsid w:val="00C6581E"/>
    <w:rsid w:val="00C920ED"/>
    <w:rsid w:val="00CC0F2F"/>
    <w:rsid w:val="00CD7D72"/>
    <w:rsid w:val="00CF3457"/>
    <w:rsid w:val="00D07040"/>
    <w:rsid w:val="00D109D5"/>
    <w:rsid w:val="00D16E9E"/>
    <w:rsid w:val="00D22546"/>
    <w:rsid w:val="00D226AB"/>
    <w:rsid w:val="00D34856"/>
    <w:rsid w:val="00D37BEB"/>
    <w:rsid w:val="00D42BF7"/>
    <w:rsid w:val="00D629A8"/>
    <w:rsid w:val="00D7737B"/>
    <w:rsid w:val="00D85D00"/>
    <w:rsid w:val="00DC7906"/>
    <w:rsid w:val="00DE1F96"/>
    <w:rsid w:val="00DE76D5"/>
    <w:rsid w:val="00DF5EC5"/>
    <w:rsid w:val="00E06093"/>
    <w:rsid w:val="00E27221"/>
    <w:rsid w:val="00E5556A"/>
    <w:rsid w:val="00E62B3F"/>
    <w:rsid w:val="00E833F5"/>
    <w:rsid w:val="00E86170"/>
    <w:rsid w:val="00EA12FB"/>
    <w:rsid w:val="00ED0720"/>
    <w:rsid w:val="00ED5082"/>
    <w:rsid w:val="00F07697"/>
    <w:rsid w:val="00F54928"/>
    <w:rsid w:val="00FA2E1F"/>
    <w:rsid w:val="00FC0785"/>
    <w:rsid w:val="00FC146B"/>
    <w:rsid w:val="0FD70535"/>
    <w:rsid w:val="15F3681B"/>
    <w:rsid w:val="29EBE45F"/>
    <w:rsid w:val="2DC973DB"/>
    <w:rsid w:val="33FDF9A6"/>
    <w:rsid w:val="357F9CE4"/>
    <w:rsid w:val="37F1B7C3"/>
    <w:rsid w:val="3A360BC0"/>
    <w:rsid w:val="3BFDCAF2"/>
    <w:rsid w:val="3C8FE325"/>
    <w:rsid w:val="3EAC94DD"/>
    <w:rsid w:val="50F89257"/>
    <w:rsid w:val="52EB8EFC"/>
    <w:rsid w:val="55FB1074"/>
    <w:rsid w:val="59CD98A5"/>
    <w:rsid w:val="5EDF4E74"/>
    <w:rsid w:val="5EF94E9F"/>
    <w:rsid w:val="5F2F9EA3"/>
    <w:rsid w:val="5F6F068E"/>
    <w:rsid w:val="5F7E2545"/>
    <w:rsid w:val="5FD92E63"/>
    <w:rsid w:val="5FF7D657"/>
    <w:rsid w:val="67F49921"/>
    <w:rsid w:val="67FFE590"/>
    <w:rsid w:val="6A5A947C"/>
    <w:rsid w:val="6B1D78AC"/>
    <w:rsid w:val="6E723EB6"/>
    <w:rsid w:val="6EDB96F5"/>
    <w:rsid w:val="6EFB2194"/>
    <w:rsid w:val="6FFF8DA4"/>
    <w:rsid w:val="71EB842E"/>
    <w:rsid w:val="7363452E"/>
    <w:rsid w:val="75E5F780"/>
    <w:rsid w:val="7AB33454"/>
    <w:rsid w:val="7ABB7FFB"/>
    <w:rsid w:val="7B7500BF"/>
    <w:rsid w:val="7B769E1B"/>
    <w:rsid w:val="7C7C2368"/>
    <w:rsid w:val="7DFB9CCB"/>
    <w:rsid w:val="7DFF8488"/>
    <w:rsid w:val="7E1B63C4"/>
    <w:rsid w:val="7EBF43BE"/>
    <w:rsid w:val="7EDF3C8C"/>
    <w:rsid w:val="7F7E6FEE"/>
    <w:rsid w:val="7F9F79C4"/>
    <w:rsid w:val="7FBE668C"/>
    <w:rsid w:val="7FEF128C"/>
    <w:rsid w:val="7FF53EE0"/>
    <w:rsid w:val="7FFEFDD9"/>
    <w:rsid w:val="8FFB4264"/>
    <w:rsid w:val="9B975ED2"/>
    <w:rsid w:val="9E3D4040"/>
    <w:rsid w:val="9FEF2091"/>
    <w:rsid w:val="A74FA1F6"/>
    <w:rsid w:val="AC3FF5C0"/>
    <w:rsid w:val="AF2A5066"/>
    <w:rsid w:val="B60675CD"/>
    <w:rsid w:val="B67BF0D6"/>
    <w:rsid w:val="B7EF391E"/>
    <w:rsid w:val="B7F9F4DF"/>
    <w:rsid w:val="BDE76CD4"/>
    <w:rsid w:val="BF73CCC2"/>
    <w:rsid w:val="BF77C3EB"/>
    <w:rsid w:val="BFC98239"/>
    <w:rsid w:val="CF1FE3B3"/>
    <w:rsid w:val="CF7F9DAB"/>
    <w:rsid w:val="D1EF5D86"/>
    <w:rsid w:val="D5DD247E"/>
    <w:rsid w:val="D7DB9E81"/>
    <w:rsid w:val="DABE6674"/>
    <w:rsid w:val="DB3F8B99"/>
    <w:rsid w:val="DC37583D"/>
    <w:rsid w:val="DCFFA97B"/>
    <w:rsid w:val="DD7B8ACA"/>
    <w:rsid w:val="DDF59E69"/>
    <w:rsid w:val="DF7D43EB"/>
    <w:rsid w:val="DFB943A3"/>
    <w:rsid w:val="DFEE8070"/>
    <w:rsid w:val="DFF31AB3"/>
    <w:rsid w:val="DFFB2A97"/>
    <w:rsid w:val="EAEDDCAF"/>
    <w:rsid w:val="EB5A5C09"/>
    <w:rsid w:val="ED73967A"/>
    <w:rsid w:val="EE77AAA9"/>
    <w:rsid w:val="EEFBFD8E"/>
    <w:rsid w:val="EF7F4FA9"/>
    <w:rsid w:val="EFBB2469"/>
    <w:rsid w:val="F1FBB042"/>
    <w:rsid w:val="F33EDA15"/>
    <w:rsid w:val="F6FB413C"/>
    <w:rsid w:val="F7F6E45A"/>
    <w:rsid w:val="F87FE8B8"/>
    <w:rsid w:val="F8BADBC9"/>
    <w:rsid w:val="F8FF9189"/>
    <w:rsid w:val="FB87FEE9"/>
    <w:rsid w:val="FBFF25CC"/>
    <w:rsid w:val="FE5F4F14"/>
    <w:rsid w:val="FEB5ADA6"/>
    <w:rsid w:val="FEB9D85C"/>
    <w:rsid w:val="FEF478BC"/>
    <w:rsid w:val="FF1F384C"/>
    <w:rsid w:val="FF3E9708"/>
    <w:rsid w:val="FF47DD1B"/>
    <w:rsid w:val="FF729EA5"/>
    <w:rsid w:val="FF733805"/>
    <w:rsid w:val="FFBB471A"/>
    <w:rsid w:val="FFDF9041"/>
    <w:rsid w:val="FFFBADB4"/>
    <w:rsid w:val="FF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25"/>
    <w:unhideWhenUsed/>
    <w:qFormat/>
    <w:uiPriority w:val="0"/>
    <w:pPr>
      <w:keepNext/>
      <w:keepLines/>
      <w:numPr>
        <w:ilvl w:val="4"/>
        <w:numId w:val="1"/>
      </w:numPr>
      <w:spacing w:before="280" w:beforeLines="50" w:after="290" w:line="376" w:lineRule="auto"/>
      <w:jc w:val="left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adjustRightInd w:val="0"/>
      <w:snapToGrid w:val="0"/>
      <w:spacing w:beforeLines="50" w:line="400" w:lineRule="exact"/>
      <w:jc w:val="left"/>
    </w:pPr>
    <w:rPr>
      <w:rFonts w:ascii="Calibri" w:hAnsi="Calibri" w:eastAsia="宋体" w:cs="Times New Roman"/>
    </w:rPr>
  </w:style>
  <w:style w:type="paragraph" w:styleId="13">
    <w:name w:val="toc 2"/>
    <w:basedOn w:val="1"/>
    <w:next w:val="1"/>
    <w:unhideWhenUsed/>
    <w:qFormat/>
    <w:uiPriority w:val="39"/>
    <w:pPr>
      <w:adjustRightInd w:val="0"/>
      <w:snapToGrid w:val="0"/>
      <w:spacing w:beforeLines="50" w:line="400" w:lineRule="exact"/>
      <w:ind w:left="100" w:leftChars="100"/>
      <w:jc w:val="left"/>
    </w:pPr>
    <w:rPr>
      <w:rFonts w:ascii="Calibri" w:hAnsi="Calibri" w:eastAsia="宋体" w:cs="Times New Roman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0">
    <w:name w:val="表格正文"/>
    <w:basedOn w:val="1"/>
    <w:qFormat/>
    <w:uiPriority w:val="0"/>
    <w:pPr>
      <w:widowControl/>
      <w:tabs>
        <w:tab w:val="left" w:pos="1702"/>
      </w:tabs>
      <w:overflowPunct w:val="0"/>
      <w:autoSpaceDE w:val="0"/>
      <w:autoSpaceDN w:val="0"/>
      <w:adjustRightInd w:val="0"/>
      <w:snapToGrid w:val="0"/>
      <w:spacing w:line="360" w:lineRule="auto"/>
      <w:ind w:firstLine="200" w:firstLineChars="200"/>
      <w:jc w:val="left"/>
    </w:pPr>
    <w:rPr>
      <w:rFonts w:ascii="楷体_GB2312" w:hAnsi="宋体" w:eastAsia="楷体_GB2312" w:cs="Times New Roman"/>
      <w:color w:val="000000"/>
      <w:kern w:val="0"/>
      <w:sz w:val="30"/>
      <w:szCs w:val="20"/>
    </w:rPr>
  </w:style>
  <w:style w:type="paragraph" w:customStyle="1" w:styleId="21">
    <w:name w:val="表格栏头"/>
    <w:basedOn w:val="20"/>
    <w:next w:val="20"/>
    <w:qFormat/>
    <w:uiPriority w:val="0"/>
    <w:pPr>
      <w:tabs>
        <w:tab w:val="clear" w:pos="1702"/>
      </w:tabs>
      <w:spacing w:before="60" w:after="60"/>
      <w:textAlignment w:val="baseline"/>
    </w:pPr>
    <w:rPr>
      <w:rFonts w:ascii="Tahoma" w:hAnsi="Tahoma" w:eastAsia="宋体"/>
      <w:b/>
      <w:color w:val="auto"/>
    </w:rPr>
  </w:style>
  <w:style w:type="paragraph" w:customStyle="1" w:styleId="22">
    <w:name w:val="信息标题2"/>
    <w:basedOn w:val="6"/>
    <w:next w:val="6"/>
    <w:qFormat/>
    <w:uiPriority w:val="0"/>
    <w:pPr>
      <w:adjustRightInd w:val="0"/>
      <w:snapToGrid w:val="0"/>
      <w:spacing w:before="156"/>
      <w:jc w:val="center"/>
    </w:pPr>
    <w:rPr>
      <w:rFonts w:ascii="Times New Roman" w:hAnsi="Times New Roman" w:eastAsia="楷体" w:cs="Times New Roman"/>
      <w:b/>
      <w:sz w:val="44"/>
      <w:szCs w:val="44"/>
    </w:rPr>
  </w:style>
  <w:style w:type="paragraph" w:customStyle="1" w:styleId="23">
    <w:name w:val="首页下"/>
    <w:basedOn w:val="1"/>
    <w:link w:val="24"/>
    <w:qFormat/>
    <w:uiPriority w:val="0"/>
    <w:pPr>
      <w:adjustRightInd w:val="0"/>
      <w:snapToGrid w:val="0"/>
      <w:spacing w:line="360" w:lineRule="auto"/>
      <w:ind w:firstLine="641" w:firstLineChars="200"/>
      <w:jc w:val="center"/>
    </w:pPr>
    <w:rPr>
      <w:rFonts w:ascii="Times New Roman" w:hAnsi="Times New Roman" w:eastAsia="方正仿宋简体"/>
      <w:b/>
      <w:sz w:val="36"/>
    </w:rPr>
  </w:style>
  <w:style w:type="character" w:customStyle="1" w:styleId="24">
    <w:name w:val="首页下 Char"/>
    <w:basedOn w:val="15"/>
    <w:link w:val="23"/>
    <w:qFormat/>
    <w:uiPriority w:val="0"/>
    <w:rPr>
      <w:rFonts w:ascii="Times New Roman" w:hAnsi="Times New Roman" w:eastAsia="方正仿宋简体"/>
      <w:b/>
      <w:sz w:val="36"/>
    </w:rPr>
  </w:style>
  <w:style w:type="character" w:customStyle="1" w:styleId="25">
    <w:name w:val="标题 5 Char"/>
    <w:basedOn w:val="15"/>
    <w:link w:val="5"/>
    <w:qFormat/>
    <w:uiPriority w:val="0"/>
    <w:rPr>
      <w:b/>
      <w:bCs/>
      <w:sz w:val="28"/>
      <w:szCs w:val="28"/>
    </w:rPr>
  </w:style>
  <w:style w:type="paragraph" w:customStyle="1" w:styleId="26">
    <w:name w:val="标题1"/>
    <w:basedOn w:val="2"/>
    <w:next w:val="1"/>
    <w:qFormat/>
    <w:uiPriority w:val="0"/>
    <w:pPr>
      <w:numPr>
        <w:ilvl w:val="0"/>
        <w:numId w:val="1"/>
      </w:numPr>
      <w:adjustRightInd w:val="0"/>
      <w:snapToGrid w:val="0"/>
      <w:spacing w:before="50" w:beforeLines="50" w:after="0" w:line="360" w:lineRule="auto"/>
      <w:ind w:left="-100" w:leftChars="-100" w:firstLine="50" w:firstLineChars="50"/>
      <w:jc w:val="left"/>
    </w:pPr>
    <w:rPr>
      <w:rFonts w:eastAsia="宋体"/>
    </w:rPr>
  </w:style>
  <w:style w:type="character" w:customStyle="1" w:styleId="27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标题2"/>
    <w:basedOn w:val="3"/>
    <w:next w:val="1"/>
    <w:qFormat/>
    <w:uiPriority w:val="0"/>
    <w:pPr>
      <w:numPr>
        <w:ilvl w:val="0"/>
        <w:numId w:val="2"/>
      </w:numPr>
      <w:adjustRightInd w:val="0"/>
      <w:snapToGrid w:val="0"/>
      <w:spacing w:before="50" w:after="0" w:line="360" w:lineRule="auto"/>
    </w:pPr>
    <w:rPr>
      <w:rFonts w:eastAsia="宋体"/>
      <w:sz w:val="36"/>
    </w:rPr>
  </w:style>
  <w:style w:type="paragraph" w:customStyle="1" w:styleId="29">
    <w:name w:val="标题3"/>
    <w:basedOn w:val="4"/>
    <w:next w:val="1"/>
    <w:qFormat/>
    <w:uiPriority w:val="0"/>
    <w:pPr>
      <w:numPr>
        <w:ilvl w:val="0"/>
        <w:numId w:val="3"/>
      </w:numPr>
      <w:adjustRightInd w:val="0"/>
      <w:snapToGrid w:val="0"/>
      <w:spacing w:before="50" w:after="0" w:line="360" w:lineRule="auto"/>
    </w:pPr>
    <w:rPr>
      <w:rFonts w:eastAsia="宋体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</Words>
  <Characters>1488</Characters>
  <Lines>12</Lines>
  <Paragraphs>3</Paragraphs>
  <TotalTime>4</TotalTime>
  <ScaleCrop>false</ScaleCrop>
  <LinksUpToDate>false</LinksUpToDate>
  <CharactersWithSpaces>1746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2018-11-27T09:02:00Z</dcterms:created>
  <dc:creator>闫巧芝yqz</dc:creator>
  <cp:lastModifiedBy>liangxn</cp:lastModifiedBy>
  <cp:lastPrinted>2025-02-23T07:56:00Z</cp:lastPrinted>
  <dcterms:modified xsi:type="dcterms:W3CDTF">2025-02-24T18:08:09Z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