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ascii="黑体" w:hAnsi="黑体" w:eastAsia="黑体"/>
          <w:sz w:val="32"/>
          <w:szCs w:val="32"/>
        </w:rPr>
      </w:pPr>
      <w:bookmarkStart w:id="0" w:name="_GoBack"/>
      <w:bookmarkEnd w:id="0"/>
    </w:p>
    <w:p>
      <w:pPr>
        <w:spacing w:line="600" w:lineRule="exact"/>
        <w:jc w:val="center"/>
        <w:rPr>
          <w:rFonts w:ascii="Times New Roman" w:hAnsi="Times New Roman" w:eastAsia="方正大标宋简体"/>
          <w:spacing w:val="-8"/>
          <w:sz w:val="44"/>
          <w:szCs w:val="44"/>
        </w:rPr>
      </w:pPr>
      <w:r>
        <w:rPr>
          <w:rFonts w:hint="eastAsia" w:ascii="Times New Roman" w:hAnsi="Times New Roman" w:eastAsia="方正大标宋简体"/>
          <w:spacing w:val="-8"/>
          <w:sz w:val="44"/>
          <w:szCs w:val="44"/>
        </w:rPr>
        <w:t>北京证券交易所 全国中小企业股份转让系统</w:t>
      </w:r>
    </w:p>
    <w:p>
      <w:pPr>
        <w:spacing w:line="600" w:lineRule="exact"/>
        <w:jc w:val="center"/>
        <w:rPr>
          <w:rFonts w:ascii="Times New Roman" w:hAnsi="Times New Roman" w:eastAsia="方正大标宋简体"/>
          <w:sz w:val="44"/>
          <w:szCs w:val="44"/>
        </w:rPr>
      </w:pPr>
      <w:r>
        <w:rPr>
          <w:rFonts w:hint="eastAsia" w:ascii="Times New Roman" w:hAnsi="Times New Roman" w:eastAsia="方正大标宋简体"/>
          <w:sz w:val="44"/>
          <w:szCs w:val="44"/>
        </w:rPr>
        <w:t>证券公司</w:t>
      </w:r>
      <w:r>
        <w:rPr>
          <w:rFonts w:ascii="Times New Roman" w:hAnsi="Times New Roman" w:eastAsia="方正大标宋简体"/>
          <w:sz w:val="44"/>
          <w:szCs w:val="44"/>
        </w:rPr>
        <w:t>执业质量负面行为清单</w:t>
      </w:r>
    </w:p>
    <w:p>
      <w:pPr>
        <w:spacing w:line="600" w:lineRule="exact"/>
        <w:jc w:val="center"/>
        <w:rPr>
          <w:rFonts w:ascii="Times New Roman" w:hAnsi="Times New Roman" w:eastAsia="方正大标宋简体"/>
          <w:sz w:val="44"/>
          <w:szCs w:val="42"/>
        </w:rPr>
      </w:pPr>
    </w:p>
    <w:tbl>
      <w:tblPr>
        <w:tblStyle w:val="5"/>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851"/>
        <w:gridCol w:w="1701"/>
        <w:gridCol w:w="4929"/>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blHeader/>
          <w:jc w:val="center"/>
        </w:trPr>
        <w:tc>
          <w:tcPr>
            <w:tcW w:w="457" w:type="dxa"/>
            <w:shd w:val="clear" w:color="auto" w:fill="AEAAAA" w:themeFill="background2" w:themeFillShade="BF"/>
            <w:vAlign w:val="center"/>
          </w:tcPr>
          <w:p>
            <w:pPr>
              <w:widowControl/>
              <w:spacing w:line="300" w:lineRule="exact"/>
              <w:jc w:val="center"/>
              <w:rPr>
                <w:rFonts w:ascii="Times New Roman" w:hAnsi="Times New Roman" w:eastAsia="仿宋"/>
                <w:b/>
                <w:bCs/>
                <w:kern w:val="0"/>
                <w:sz w:val="24"/>
                <w:szCs w:val="24"/>
              </w:rPr>
            </w:pPr>
            <w:r>
              <w:rPr>
                <w:rFonts w:ascii="Times New Roman" w:hAnsi="Times New Roman" w:eastAsia="仿宋"/>
                <w:b/>
                <w:bCs/>
                <w:kern w:val="0"/>
                <w:sz w:val="24"/>
                <w:szCs w:val="24"/>
              </w:rPr>
              <w:t>序号</w:t>
            </w:r>
          </w:p>
        </w:tc>
        <w:tc>
          <w:tcPr>
            <w:tcW w:w="851" w:type="dxa"/>
            <w:shd w:val="clear" w:color="auto" w:fill="AEAAAA" w:themeFill="background2" w:themeFillShade="BF"/>
            <w:vAlign w:val="center"/>
          </w:tcPr>
          <w:p>
            <w:pPr>
              <w:widowControl/>
              <w:spacing w:line="300" w:lineRule="exact"/>
              <w:jc w:val="center"/>
              <w:rPr>
                <w:rFonts w:ascii="Times New Roman" w:hAnsi="Times New Roman" w:eastAsia="仿宋"/>
                <w:b/>
                <w:bCs/>
                <w:kern w:val="0"/>
                <w:sz w:val="24"/>
                <w:szCs w:val="24"/>
              </w:rPr>
            </w:pPr>
            <w:r>
              <w:rPr>
                <w:rFonts w:ascii="Times New Roman" w:hAnsi="Times New Roman" w:eastAsia="仿宋"/>
                <w:b/>
                <w:bCs/>
                <w:kern w:val="0"/>
                <w:sz w:val="24"/>
                <w:szCs w:val="24"/>
              </w:rPr>
              <w:t>行为类别</w:t>
            </w:r>
          </w:p>
        </w:tc>
        <w:tc>
          <w:tcPr>
            <w:tcW w:w="6630" w:type="dxa"/>
            <w:gridSpan w:val="2"/>
            <w:shd w:val="clear" w:color="auto" w:fill="AEAAAA" w:themeFill="background2" w:themeFillShade="BF"/>
            <w:vAlign w:val="center"/>
          </w:tcPr>
          <w:p>
            <w:pPr>
              <w:widowControl/>
              <w:spacing w:line="300" w:lineRule="exact"/>
              <w:jc w:val="center"/>
              <w:rPr>
                <w:rFonts w:ascii="Times New Roman" w:hAnsi="Times New Roman" w:eastAsia="仿宋"/>
                <w:b/>
                <w:bCs/>
                <w:kern w:val="0"/>
                <w:sz w:val="24"/>
                <w:szCs w:val="24"/>
              </w:rPr>
            </w:pPr>
            <w:r>
              <w:rPr>
                <w:rFonts w:ascii="Times New Roman" w:hAnsi="Times New Roman" w:eastAsia="仿宋"/>
                <w:b/>
                <w:bCs/>
                <w:kern w:val="0"/>
                <w:sz w:val="24"/>
                <w:szCs w:val="24"/>
              </w:rPr>
              <w:t>行为描述</w:t>
            </w:r>
          </w:p>
        </w:tc>
        <w:tc>
          <w:tcPr>
            <w:tcW w:w="1701" w:type="dxa"/>
            <w:shd w:val="clear" w:color="auto" w:fill="AEAAAA" w:themeFill="background2" w:themeFillShade="BF"/>
            <w:vAlign w:val="center"/>
          </w:tcPr>
          <w:p>
            <w:pPr>
              <w:widowControl/>
              <w:jc w:val="center"/>
              <w:rPr>
                <w:rFonts w:ascii="Times New Roman" w:hAnsi="Times New Roman" w:eastAsia="仿宋"/>
                <w:b/>
                <w:bCs/>
                <w:kern w:val="0"/>
                <w:sz w:val="24"/>
                <w:szCs w:val="24"/>
              </w:rPr>
            </w:pPr>
            <w:r>
              <w:rPr>
                <w:rFonts w:hint="eastAsia" w:ascii="Times New Roman" w:hAnsi="Times New Roman" w:eastAsia="仿宋"/>
                <w:b/>
                <w:bCs/>
                <w:kern w:val="0"/>
                <w:sz w:val="24"/>
                <w:szCs w:val="24"/>
              </w:rPr>
              <w:t>情节</w:t>
            </w:r>
            <w:r>
              <w:rPr>
                <w:rFonts w:ascii="Times New Roman" w:hAnsi="Times New Roman" w:eastAsia="仿宋"/>
                <w:b/>
                <w:bCs/>
                <w:kern w:val="0"/>
                <w:sz w:val="24"/>
                <w:szCs w:val="24"/>
              </w:rPr>
              <w:t>调整系数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9639" w:type="dxa"/>
            <w:gridSpan w:val="5"/>
            <w:shd w:val="clear" w:color="auto" w:fill="D0CECE" w:themeFill="background2" w:themeFillShade="E6"/>
            <w:noWrap/>
            <w:vAlign w:val="center"/>
          </w:tcPr>
          <w:p>
            <w:pPr>
              <w:widowControl/>
              <w:spacing w:line="300" w:lineRule="exact"/>
              <w:jc w:val="center"/>
              <w:rPr>
                <w:rFonts w:ascii="Times New Roman" w:hAnsi="Times New Roman" w:eastAsia="仿宋"/>
                <w:b/>
                <w:kern w:val="0"/>
                <w:sz w:val="24"/>
                <w:szCs w:val="24"/>
              </w:rPr>
            </w:pPr>
            <w:r>
              <w:rPr>
                <w:rFonts w:hint="eastAsia" w:ascii="Times New Roman" w:hAnsi="Times New Roman" w:eastAsia="仿宋"/>
                <w:b/>
                <w:kern w:val="0"/>
                <w:sz w:val="24"/>
                <w:szCs w:val="24"/>
              </w:rPr>
              <w:t>一</w:t>
            </w:r>
            <w:r>
              <w:rPr>
                <w:rFonts w:ascii="Times New Roman" w:hAnsi="Times New Roman" w:eastAsia="仿宋"/>
                <w:b/>
                <w:kern w:val="0"/>
                <w:sz w:val="24"/>
                <w:szCs w:val="24"/>
              </w:rPr>
              <w:t>、北京证券交易所</w:t>
            </w:r>
            <w:r>
              <w:rPr>
                <w:rFonts w:hint="eastAsia" w:ascii="Times New Roman" w:hAnsi="Times New Roman" w:eastAsia="仿宋"/>
                <w:b/>
                <w:kern w:val="0"/>
                <w:sz w:val="24"/>
                <w:szCs w:val="24"/>
              </w:rPr>
              <w:t>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457" w:type="dxa"/>
            <w:shd w:val="clear" w:color="auto" w:fill="auto"/>
            <w:noWrap/>
            <w:vAlign w:val="center"/>
          </w:tcPr>
          <w:p>
            <w:pPr>
              <w:widowControl/>
              <w:spacing w:line="300" w:lineRule="exact"/>
              <w:jc w:val="center"/>
              <w:rPr>
                <w:rFonts w:ascii="Times New Roman" w:hAnsi="Times New Roman" w:eastAsia="仿宋"/>
                <w:kern w:val="0"/>
                <w:sz w:val="24"/>
                <w:szCs w:val="24"/>
              </w:rPr>
            </w:pPr>
            <w:r>
              <w:rPr>
                <w:rFonts w:ascii="Times New Roman" w:hAnsi="Times New Roman" w:eastAsia="仿宋"/>
                <w:kern w:val="0"/>
                <w:sz w:val="24"/>
                <w:szCs w:val="24"/>
              </w:rPr>
              <w:t>1</w:t>
            </w:r>
          </w:p>
        </w:tc>
        <w:tc>
          <w:tcPr>
            <w:tcW w:w="851" w:type="dxa"/>
            <w:vMerge w:val="restart"/>
            <w:shd w:val="clear" w:color="auto" w:fill="auto"/>
            <w:vAlign w:val="center"/>
          </w:tcPr>
          <w:p>
            <w:pPr>
              <w:widowControl/>
              <w:spacing w:line="300" w:lineRule="exact"/>
              <w:jc w:val="center"/>
              <w:rPr>
                <w:rFonts w:ascii="Times New Roman" w:hAnsi="Times New Roman" w:eastAsia="仿宋"/>
                <w:kern w:val="0"/>
                <w:sz w:val="24"/>
                <w:szCs w:val="24"/>
              </w:rPr>
            </w:pPr>
            <w:r>
              <w:rPr>
                <w:rFonts w:ascii="Times New Roman" w:hAnsi="Times New Roman" w:eastAsia="仿宋"/>
                <w:kern w:val="0"/>
                <w:sz w:val="24"/>
                <w:szCs w:val="24"/>
              </w:rPr>
              <w:t>保荐</w:t>
            </w:r>
            <w:r>
              <w:rPr>
                <w:rFonts w:hint="eastAsia" w:ascii="Times New Roman" w:hAnsi="Times New Roman" w:eastAsia="仿宋"/>
                <w:kern w:val="0"/>
                <w:sz w:val="24"/>
                <w:szCs w:val="24"/>
              </w:rPr>
              <w:t>业务</w:t>
            </w:r>
            <w:r>
              <w:rPr>
                <w:rFonts w:ascii="Times New Roman" w:hAnsi="Times New Roman" w:eastAsia="仿宋"/>
                <w:kern w:val="0"/>
                <w:sz w:val="24"/>
                <w:szCs w:val="24"/>
              </w:rPr>
              <w:t>负面行为</w:t>
            </w:r>
          </w:p>
        </w:tc>
        <w:tc>
          <w:tcPr>
            <w:tcW w:w="1701" w:type="dxa"/>
            <w:vMerge w:val="restart"/>
            <w:shd w:val="clear" w:color="auto" w:fill="auto"/>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信息披露</w:t>
            </w:r>
          </w:p>
        </w:tc>
        <w:tc>
          <w:tcPr>
            <w:tcW w:w="4929" w:type="dxa"/>
            <w:shd w:val="clear" w:color="auto" w:fill="auto"/>
            <w:vAlign w:val="center"/>
          </w:tcPr>
          <w:p>
            <w:pPr>
              <w:widowControl/>
              <w:spacing w:line="300" w:lineRule="exact"/>
              <w:jc w:val="left"/>
              <w:rPr>
                <w:rFonts w:ascii="Times New Roman" w:hAnsi="Times New Roman" w:eastAsia="仿宋"/>
                <w:kern w:val="0"/>
                <w:sz w:val="24"/>
                <w:szCs w:val="24"/>
              </w:rPr>
            </w:pPr>
            <w:r>
              <w:rPr>
                <w:rFonts w:hint="eastAsia" w:ascii="Times New Roman" w:hAnsi="Times New Roman" w:eastAsia="仿宋"/>
                <w:bCs/>
                <w:kern w:val="0"/>
                <w:sz w:val="24"/>
                <w:szCs w:val="24"/>
              </w:rPr>
              <w:t>信息披露文件未按要求披露。</w:t>
            </w:r>
          </w:p>
        </w:tc>
        <w:tc>
          <w:tcPr>
            <w:tcW w:w="1701" w:type="dxa"/>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457" w:type="dxa"/>
            <w:shd w:val="clear" w:color="auto" w:fill="auto"/>
            <w:noWrap/>
            <w:vAlign w:val="center"/>
          </w:tcPr>
          <w:p>
            <w:pPr>
              <w:widowControl/>
              <w:spacing w:line="300" w:lineRule="exact"/>
              <w:jc w:val="center"/>
              <w:rPr>
                <w:rFonts w:ascii="Times New Roman" w:hAnsi="Times New Roman" w:eastAsia="仿宋"/>
                <w:kern w:val="0"/>
                <w:sz w:val="24"/>
                <w:szCs w:val="24"/>
              </w:rPr>
            </w:pPr>
            <w:r>
              <w:rPr>
                <w:rFonts w:ascii="Times New Roman" w:hAnsi="Times New Roman" w:eastAsia="仿宋"/>
                <w:kern w:val="0"/>
                <w:sz w:val="24"/>
                <w:szCs w:val="24"/>
              </w:rPr>
              <w:t>2</w:t>
            </w:r>
          </w:p>
        </w:tc>
        <w:tc>
          <w:tcPr>
            <w:tcW w:w="851" w:type="dxa"/>
            <w:vMerge w:val="continue"/>
            <w:shd w:val="clear" w:color="auto" w:fill="auto"/>
            <w:vAlign w:val="center"/>
          </w:tcPr>
          <w:p>
            <w:pPr>
              <w:widowControl/>
              <w:spacing w:line="300" w:lineRule="exact"/>
              <w:jc w:val="center"/>
              <w:rPr>
                <w:rFonts w:ascii="Times New Roman" w:hAnsi="Times New Roman" w:eastAsia="仿宋"/>
                <w:kern w:val="0"/>
                <w:sz w:val="24"/>
                <w:szCs w:val="24"/>
              </w:rPr>
            </w:pPr>
          </w:p>
        </w:tc>
        <w:tc>
          <w:tcPr>
            <w:tcW w:w="1701" w:type="dxa"/>
            <w:vMerge w:val="continue"/>
            <w:shd w:val="clear" w:color="auto" w:fill="auto"/>
            <w:vAlign w:val="center"/>
          </w:tcPr>
          <w:p>
            <w:pPr>
              <w:widowControl/>
              <w:spacing w:line="300" w:lineRule="exact"/>
              <w:jc w:val="center"/>
              <w:rPr>
                <w:rFonts w:ascii="Times New Roman" w:hAnsi="Times New Roman" w:eastAsia="仿宋"/>
                <w:bCs/>
                <w:kern w:val="0"/>
                <w:sz w:val="24"/>
                <w:szCs w:val="24"/>
              </w:rPr>
            </w:pPr>
          </w:p>
        </w:tc>
        <w:tc>
          <w:tcPr>
            <w:tcW w:w="4929" w:type="dxa"/>
            <w:shd w:val="clear" w:color="auto" w:fill="auto"/>
            <w:vAlign w:val="center"/>
          </w:tcPr>
          <w:p>
            <w:pPr>
              <w:widowControl/>
              <w:spacing w:line="300" w:lineRule="exact"/>
              <w:jc w:val="left"/>
              <w:rPr>
                <w:rFonts w:ascii="Times New Roman" w:hAnsi="Times New Roman" w:eastAsia="仿宋"/>
                <w:bCs/>
                <w:kern w:val="0"/>
                <w:sz w:val="24"/>
                <w:szCs w:val="24"/>
              </w:rPr>
            </w:pPr>
            <w:r>
              <w:rPr>
                <w:rFonts w:hint="eastAsia" w:ascii="Times New Roman" w:hAnsi="Times New Roman" w:eastAsia="仿宋"/>
                <w:bCs/>
                <w:kern w:val="0"/>
                <w:sz w:val="24"/>
                <w:szCs w:val="24"/>
              </w:rPr>
              <w:t>信息披露文件存在内容错误。</w:t>
            </w:r>
          </w:p>
        </w:tc>
        <w:tc>
          <w:tcPr>
            <w:tcW w:w="1701" w:type="dxa"/>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3</w:t>
            </w:r>
          </w:p>
        </w:tc>
        <w:tc>
          <w:tcPr>
            <w:tcW w:w="851" w:type="dxa"/>
            <w:vMerge w:val="continue"/>
            <w:shd w:val="clear" w:color="auto" w:fill="auto"/>
            <w:vAlign w:val="center"/>
          </w:tcPr>
          <w:p>
            <w:pPr>
              <w:widowControl/>
              <w:spacing w:line="300" w:lineRule="exact"/>
              <w:jc w:val="center"/>
              <w:rPr>
                <w:rFonts w:ascii="Times New Roman" w:hAnsi="Times New Roman" w:eastAsia="仿宋"/>
                <w:kern w:val="0"/>
                <w:sz w:val="24"/>
                <w:szCs w:val="24"/>
              </w:rPr>
            </w:pPr>
          </w:p>
        </w:tc>
        <w:tc>
          <w:tcPr>
            <w:tcW w:w="1701" w:type="dxa"/>
            <w:shd w:val="clear" w:color="auto" w:fill="auto"/>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核查</w:t>
            </w:r>
          </w:p>
        </w:tc>
        <w:tc>
          <w:tcPr>
            <w:tcW w:w="4929" w:type="dxa"/>
            <w:shd w:val="clear" w:color="auto" w:fill="auto"/>
            <w:vAlign w:val="center"/>
          </w:tcPr>
          <w:p>
            <w:pPr>
              <w:widowControl/>
              <w:spacing w:line="300" w:lineRule="exact"/>
              <w:jc w:val="left"/>
              <w:rPr>
                <w:rFonts w:ascii="Times New Roman" w:hAnsi="Times New Roman" w:eastAsia="仿宋"/>
                <w:bCs/>
                <w:kern w:val="0"/>
                <w:sz w:val="24"/>
                <w:szCs w:val="24"/>
              </w:rPr>
            </w:pPr>
            <w:r>
              <w:rPr>
                <w:rFonts w:hint="eastAsia" w:ascii="Times New Roman" w:hAnsi="Times New Roman" w:eastAsia="仿宋"/>
                <w:bCs/>
                <w:kern w:val="0"/>
                <w:sz w:val="24"/>
                <w:szCs w:val="24"/>
              </w:rPr>
              <w:t>中介机构核查方式、范围、过程等不符合要求，或针对同一问题经过多轮回复仍未核查清楚。</w:t>
            </w:r>
          </w:p>
        </w:tc>
        <w:tc>
          <w:tcPr>
            <w:tcW w:w="1701" w:type="dxa"/>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1</w:t>
            </w:r>
            <w:r>
              <w:rPr>
                <w:rFonts w:ascii="Times New Roman" w:hAnsi="Times New Roman" w:eastAsia="仿宋"/>
                <w:bCs/>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4</w:t>
            </w:r>
          </w:p>
        </w:tc>
        <w:tc>
          <w:tcPr>
            <w:tcW w:w="851" w:type="dxa"/>
            <w:vMerge w:val="continue"/>
            <w:shd w:val="clear" w:color="auto" w:fill="auto"/>
            <w:vAlign w:val="center"/>
          </w:tcPr>
          <w:p>
            <w:pPr>
              <w:widowControl/>
              <w:spacing w:line="300" w:lineRule="exact"/>
              <w:jc w:val="center"/>
              <w:rPr>
                <w:rFonts w:ascii="Times New Roman" w:hAnsi="Times New Roman" w:eastAsia="仿宋"/>
                <w:kern w:val="0"/>
                <w:sz w:val="24"/>
                <w:szCs w:val="24"/>
              </w:rPr>
            </w:pPr>
          </w:p>
        </w:tc>
        <w:tc>
          <w:tcPr>
            <w:tcW w:w="1701" w:type="dxa"/>
            <w:vMerge w:val="restart"/>
            <w:shd w:val="clear" w:color="auto" w:fill="auto"/>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回复</w:t>
            </w:r>
          </w:p>
        </w:tc>
        <w:tc>
          <w:tcPr>
            <w:tcW w:w="4929" w:type="dxa"/>
            <w:shd w:val="clear" w:color="auto" w:fill="auto"/>
            <w:vAlign w:val="center"/>
          </w:tcPr>
          <w:p>
            <w:pPr>
              <w:widowControl/>
              <w:spacing w:line="300" w:lineRule="exact"/>
              <w:jc w:val="left"/>
              <w:rPr>
                <w:rFonts w:ascii="Times New Roman" w:hAnsi="Times New Roman" w:eastAsia="仿宋"/>
                <w:kern w:val="0"/>
                <w:sz w:val="24"/>
                <w:szCs w:val="24"/>
              </w:rPr>
            </w:pPr>
            <w:r>
              <w:rPr>
                <w:rFonts w:ascii="Times New Roman" w:hAnsi="Times New Roman" w:eastAsia="仿宋"/>
                <w:bCs/>
                <w:kern w:val="0"/>
                <w:sz w:val="24"/>
                <w:szCs w:val="24"/>
              </w:rPr>
              <w:t>中介机构意见前后矛盾，或者中介机构间意见不一致。</w:t>
            </w:r>
          </w:p>
        </w:tc>
        <w:tc>
          <w:tcPr>
            <w:tcW w:w="1701" w:type="dxa"/>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457" w:type="dxa"/>
            <w:shd w:val="clear" w:color="auto" w:fill="auto"/>
            <w:noWrap/>
            <w:vAlign w:val="center"/>
          </w:tcPr>
          <w:p>
            <w:pPr>
              <w:widowControl/>
              <w:spacing w:line="300" w:lineRule="exact"/>
              <w:jc w:val="center"/>
              <w:rPr>
                <w:rFonts w:ascii="Times New Roman" w:hAnsi="Times New Roman" w:eastAsia="仿宋"/>
                <w:kern w:val="0"/>
                <w:sz w:val="24"/>
                <w:szCs w:val="24"/>
              </w:rPr>
            </w:pPr>
            <w:r>
              <w:rPr>
                <w:rFonts w:ascii="Times New Roman" w:hAnsi="Times New Roman" w:eastAsia="仿宋"/>
                <w:kern w:val="0"/>
                <w:sz w:val="24"/>
                <w:szCs w:val="24"/>
              </w:rPr>
              <w:t>5</w:t>
            </w:r>
          </w:p>
        </w:tc>
        <w:tc>
          <w:tcPr>
            <w:tcW w:w="851" w:type="dxa"/>
            <w:vMerge w:val="continue"/>
            <w:shd w:val="clear" w:color="auto" w:fill="auto"/>
            <w:vAlign w:val="center"/>
          </w:tcPr>
          <w:p>
            <w:pPr>
              <w:widowControl/>
              <w:spacing w:line="300" w:lineRule="exact"/>
              <w:jc w:val="center"/>
              <w:rPr>
                <w:rFonts w:ascii="Times New Roman" w:hAnsi="Times New Roman" w:eastAsia="仿宋"/>
                <w:kern w:val="0"/>
                <w:sz w:val="24"/>
                <w:szCs w:val="24"/>
              </w:rPr>
            </w:pPr>
          </w:p>
        </w:tc>
        <w:tc>
          <w:tcPr>
            <w:tcW w:w="1701" w:type="dxa"/>
            <w:vMerge w:val="continue"/>
            <w:shd w:val="clear" w:color="auto" w:fill="auto"/>
            <w:vAlign w:val="center"/>
          </w:tcPr>
          <w:p>
            <w:pPr>
              <w:widowControl/>
              <w:spacing w:line="300" w:lineRule="exact"/>
              <w:jc w:val="center"/>
              <w:rPr>
                <w:rFonts w:ascii="Times New Roman" w:hAnsi="Times New Roman" w:eastAsia="仿宋"/>
                <w:bCs/>
                <w:kern w:val="0"/>
                <w:sz w:val="24"/>
                <w:szCs w:val="24"/>
              </w:rPr>
            </w:pPr>
          </w:p>
        </w:tc>
        <w:tc>
          <w:tcPr>
            <w:tcW w:w="4929" w:type="dxa"/>
            <w:shd w:val="clear" w:color="auto" w:fill="auto"/>
            <w:vAlign w:val="center"/>
          </w:tcPr>
          <w:p>
            <w:pPr>
              <w:widowControl/>
              <w:spacing w:line="300" w:lineRule="exact"/>
              <w:jc w:val="left"/>
              <w:rPr>
                <w:rFonts w:ascii="Times New Roman" w:hAnsi="Times New Roman" w:eastAsia="仿宋"/>
                <w:kern w:val="0"/>
                <w:sz w:val="24"/>
                <w:szCs w:val="24"/>
              </w:rPr>
            </w:pPr>
            <w:r>
              <w:rPr>
                <w:rFonts w:hint="eastAsia" w:ascii="Times New Roman" w:hAnsi="Times New Roman" w:eastAsia="仿宋"/>
                <w:kern w:val="0"/>
                <w:sz w:val="24"/>
                <w:szCs w:val="24"/>
              </w:rPr>
              <w:t>未按照问询、反馈意见要求回复，出现漏答、不按要求回答等情形。</w:t>
            </w:r>
          </w:p>
        </w:tc>
        <w:tc>
          <w:tcPr>
            <w:tcW w:w="1701" w:type="dxa"/>
            <w:vAlign w:val="center"/>
          </w:tcPr>
          <w:p>
            <w:pPr>
              <w:widowControl/>
              <w:spacing w:line="300" w:lineRule="exact"/>
              <w:jc w:val="center"/>
              <w:rPr>
                <w:rFonts w:ascii="Times New Roman" w:hAnsi="Times New Roman" w:eastAsia="仿宋"/>
                <w:kern w:val="0"/>
                <w:sz w:val="24"/>
                <w:szCs w:val="24"/>
              </w:rPr>
            </w:pPr>
            <w:r>
              <w:rPr>
                <w:rFonts w:ascii="Times New Roman" w:hAnsi="Times New Roman" w:eastAsia="仿宋"/>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457" w:type="dxa"/>
            <w:shd w:val="clear" w:color="auto" w:fill="auto"/>
            <w:noWrap/>
            <w:vAlign w:val="center"/>
          </w:tcPr>
          <w:p>
            <w:pPr>
              <w:widowControl/>
              <w:spacing w:line="300" w:lineRule="exact"/>
              <w:jc w:val="center"/>
              <w:rPr>
                <w:rFonts w:ascii="Times New Roman" w:hAnsi="Times New Roman" w:eastAsia="仿宋"/>
                <w:kern w:val="0"/>
                <w:sz w:val="24"/>
                <w:szCs w:val="24"/>
              </w:rPr>
            </w:pPr>
            <w:r>
              <w:rPr>
                <w:rFonts w:hint="eastAsia" w:ascii="Times New Roman" w:hAnsi="Times New Roman" w:eastAsia="仿宋"/>
                <w:kern w:val="0"/>
                <w:sz w:val="24"/>
                <w:szCs w:val="24"/>
              </w:rPr>
              <w:t>6</w:t>
            </w:r>
          </w:p>
        </w:tc>
        <w:tc>
          <w:tcPr>
            <w:tcW w:w="851" w:type="dxa"/>
            <w:vMerge w:val="continue"/>
            <w:shd w:val="clear" w:color="auto" w:fill="auto"/>
            <w:vAlign w:val="center"/>
          </w:tcPr>
          <w:p>
            <w:pPr>
              <w:widowControl/>
              <w:spacing w:line="300" w:lineRule="exact"/>
              <w:jc w:val="center"/>
              <w:rPr>
                <w:rFonts w:ascii="Times New Roman" w:hAnsi="Times New Roman" w:eastAsia="仿宋"/>
                <w:kern w:val="0"/>
                <w:sz w:val="24"/>
                <w:szCs w:val="24"/>
              </w:rPr>
            </w:pPr>
          </w:p>
        </w:tc>
        <w:tc>
          <w:tcPr>
            <w:tcW w:w="1701" w:type="dxa"/>
            <w:vMerge w:val="restart"/>
            <w:shd w:val="clear" w:color="auto" w:fill="auto"/>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上市委审议</w:t>
            </w:r>
          </w:p>
        </w:tc>
        <w:tc>
          <w:tcPr>
            <w:tcW w:w="4929" w:type="dxa"/>
            <w:shd w:val="clear" w:color="auto" w:fill="auto"/>
            <w:vAlign w:val="center"/>
          </w:tcPr>
          <w:p>
            <w:pPr>
              <w:widowControl/>
              <w:spacing w:line="300" w:lineRule="exact"/>
              <w:jc w:val="left"/>
              <w:rPr>
                <w:rFonts w:ascii="Times New Roman" w:hAnsi="Times New Roman" w:eastAsia="仿宋"/>
                <w:kern w:val="0"/>
                <w:sz w:val="24"/>
                <w:szCs w:val="24"/>
              </w:rPr>
            </w:pPr>
            <w:r>
              <w:rPr>
                <w:rFonts w:hint="eastAsia" w:ascii="Times New Roman" w:hAnsi="Times New Roman" w:eastAsia="仿宋"/>
                <w:kern w:val="0"/>
                <w:sz w:val="24"/>
                <w:szCs w:val="24"/>
              </w:rPr>
              <w:t>提交回复</w:t>
            </w:r>
            <w:r>
              <w:rPr>
                <w:rFonts w:ascii="Times New Roman" w:hAnsi="Times New Roman" w:eastAsia="仿宋"/>
                <w:kern w:val="0"/>
                <w:sz w:val="24"/>
                <w:szCs w:val="24"/>
              </w:rPr>
              <w:t>文件</w:t>
            </w:r>
            <w:r>
              <w:rPr>
                <w:rFonts w:hint="eastAsia" w:ascii="Times New Roman" w:hAnsi="Times New Roman" w:eastAsia="仿宋"/>
                <w:kern w:val="0"/>
                <w:sz w:val="24"/>
                <w:szCs w:val="24"/>
              </w:rPr>
              <w:t>、</w:t>
            </w:r>
            <w:r>
              <w:rPr>
                <w:rFonts w:ascii="Times New Roman" w:hAnsi="Times New Roman" w:eastAsia="仿宋"/>
                <w:kern w:val="0"/>
                <w:sz w:val="24"/>
                <w:szCs w:val="24"/>
              </w:rPr>
              <w:t>现场问询回复内容与公开披露信息、</w:t>
            </w:r>
            <w:r>
              <w:rPr>
                <w:rFonts w:hint="eastAsia" w:ascii="Times New Roman" w:hAnsi="Times New Roman" w:eastAsia="仿宋"/>
                <w:kern w:val="0"/>
                <w:sz w:val="24"/>
                <w:szCs w:val="24"/>
              </w:rPr>
              <w:t>其他</w:t>
            </w:r>
            <w:r>
              <w:rPr>
                <w:rFonts w:ascii="Times New Roman" w:hAnsi="Times New Roman" w:eastAsia="仿宋"/>
                <w:kern w:val="0"/>
                <w:sz w:val="24"/>
                <w:szCs w:val="24"/>
              </w:rPr>
              <w:t>报送文件</w:t>
            </w:r>
            <w:r>
              <w:rPr>
                <w:rFonts w:hint="eastAsia" w:ascii="Times New Roman" w:hAnsi="Times New Roman" w:eastAsia="仿宋"/>
                <w:kern w:val="0"/>
                <w:sz w:val="24"/>
                <w:szCs w:val="24"/>
              </w:rPr>
              <w:t>前后</w:t>
            </w:r>
            <w:r>
              <w:rPr>
                <w:rFonts w:ascii="Times New Roman" w:hAnsi="Times New Roman" w:eastAsia="仿宋"/>
                <w:kern w:val="0"/>
                <w:sz w:val="24"/>
                <w:szCs w:val="24"/>
              </w:rPr>
              <w:t>矛盾</w:t>
            </w:r>
            <w:r>
              <w:rPr>
                <w:rFonts w:hint="eastAsia" w:ascii="Times New Roman" w:hAnsi="Times New Roman" w:eastAsia="仿宋"/>
                <w:kern w:val="0"/>
                <w:sz w:val="24"/>
                <w:szCs w:val="24"/>
              </w:rPr>
              <w:t>、</w:t>
            </w:r>
            <w:r>
              <w:rPr>
                <w:rFonts w:ascii="Times New Roman" w:hAnsi="Times New Roman" w:eastAsia="仿宋"/>
                <w:kern w:val="0"/>
                <w:sz w:val="24"/>
                <w:szCs w:val="24"/>
              </w:rPr>
              <w:t>错漏</w:t>
            </w:r>
            <w:r>
              <w:rPr>
                <w:rFonts w:hint="eastAsia" w:ascii="Times New Roman" w:hAnsi="Times New Roman" w:eastAsia="仿宋"/>
                <w:kern w:val="0"/>
                <w:sz w:val="24"/>
                <w:szCs w:val="24"/>
              </w:rPr>
              <w:t>，</w:t>
            </w:r>
            <w:r>
              <w:rPr>
                <w:rFonts w:ascii="Times New Roman" w:hAnsi="Times New Roman" w:eastAsia="仿宋"/>
                <w:bCs/>
                <w:kern w:val="0"/>
                <w:sz w:val="24"/>
                <w:szCs w:val="24"/>
              </w:rPr>
              <w:t>或者中介机构间意见不一致</w:t>
            </w:r>
            <w:r>
              <w:rPr>
                <w:rFonts w:ascii="Times New Roman" w:hAnsi="Times New Roman" w:eastAsia="仿宋"/>
                <w:kern w:val="0"/>
                <w:sz w:val="24"/>
                <w:szCs w:val="24"/>
              </w:rPr>
              <w:t>。</w:t>
            </w:r>
          </w:p>
        </w:tc>
        <w:tc>
          <w:tcPr>
            <w:tcW w:w="1701" w:type="dxa"/>
            <w:vAlign w:val="center"/>
          </w:tcPr>
          <w:p>
            <w:pPr>
              <w:widowControl/>
              <w:spacing w:line="300" w:lineRule="exact"/>
              <w:jc w:val="center"/>
              <w:rPr>
                <w:rFonts w:ascii="Times New Roman" w:hAnsi="Times New Roman" w:eastAsia="仿宋"/>
                <w:kern w:val="0"/>
                <w:sz w:val="24"/>
                <w:szCs w:val="24"/>
              </w:rPr>
            </w:pPr>
            <w:r>
              <w:rPr>
                <w:rFonts w:hint="eastAsia" w:ascii="Times New Roman" w:hAnsi="Times New Roman" w:eastAsia="仿宋"/>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457" w:type="dxa"/>
            <w:shd w:val="clear" w:color="auto" w:fill="auto"/>
            <w:noWrap/>
            <w:vAlign w:val="center"/>
          </w:tcPr>
          <w:p>
            <w:pPr>
              <w:widowControl/>
              <w:spacing w:line="300" w:lineRule="exact"/>
              <w:jc w:val="center"/>
              <w:rPr>
                <w:rFonts w:ascii="Times New Roman" w:hAnsi="Times New Roman" w:eastAsia="仿宋"/>
                <w:kern w:val="0"/>
                <w:sz w:val="24"/>
                <w:szCs w:val="24"/>
              </w:rPr>
            </w:pPr>
            <w:r>
              <w:rPr>
                <w:rFonts w:hint="eastAsia" w:ascii="Times New Roman" w:hAnsi="Times New Roman" w:eastAsia="仿宋"/>
                <w:kern w:val="0"/>
                <w:sz w:val="24"/>
                <w:szCs w:val="24"/>
              </w:rPr>
              <w:t>7</w:t>
            </w:r>
          </w:p>
        </w:tc>
        <w:tc>
          <w:tcPr>
            <w:tcW w:w="851" w:type="dxa"/>
            <w:vMerge w:val="continue"/>
            <w:shd w:val="clear" w:color="auto" w:fill="auto"/>
            <w:vAlign w:val="center"/>
          </w:tcPr>
          <w:p>
            <w:pPr>
              <w:widowControl/>
              <w:spacing w:line="300" w:lineRule="exact"/>
              <w:jc w:val="center"/>
              <w:rPr>
                <w:rFonts w:ascii="Times New Roman" w:hAnsi="Times New Roman" w:eastAsia="仿宋"/>
                <w:kern w:val="0"/>
                <w:sz w:val="24"/>
                <w:szCs w:val="24"/>
              </w:rPr>
            </w:pPr>
          </w:p>
        </w:tc>
        <w:tc>
          <w:tcPr>
            <w:tcW w:w="1701" w:type="dxa"/>
            <w:vMerge w:val="continue"/>
            <w:shd w:val="clear" w:color="auto" w:fill="auto"/>
            <w:vAlign w:val="center"/>
          </w:tcPr>
          <w:p>
            <w:pPr>
              <w:widowControl/>
              <w:spacing w:line="300" w:lineRule="exact"/>
              <w:jc w:val="center"/>
              <w:rPr>
                <w:rFonts w:ascii="Times New Roman" w:hAnsi="Times New Roman" w:eastAsia="仿宋"/>
                <w:bCs/>
                <w:kern w:val="0"/>
                <w:sz w:val="24"/>
                <w:szCs w:val="24"/>
              </w:rPr>
            </w:pPr>
          </w:p>
        </w:tc>
        <w:tc>
          <w:tcPr>
            <w:tcW w:w="4929" w:type="dxa"/>
            <w:shd w:val="clear" w:color="auto" w:fill="auto"/>
            <w:vAlign w:val="center"/>
          </w:tcPr>
          <w:p>
            <w:pPr>
              <w:widowControl/>
              <w:spacing w:line="300" w:lineRule="exact"/>
              <w:jc w:val="left"/>
              <w:rPr>
                <w:rFonts w:ascii="Times New Roman" w:hAnsi="Times New Roman" w:eastAsia="仿宋"/>
                <w:kern w:val="0"/>
                <w:sz w:val="24"/>
                <w:szCs w:val="24"/>
              </w:rPr>
            </w:pPr>
            <w:r>
              <w:rPr>
                <w:rFonts w:hint="eastAsia" w:ascii="Times New Roman" w:hAnsi="Times New Roman" w:eastAsia="仿宋"/>
                <w:kern w:val="0"/>
                <w:sz w:val="24"/>
                <w:szCs w:val="24"/>
              </w:rPr>
              <w:t>未按审议</w:t>
            </w:r>
            <w:r>
              <w:rPr>
                <w:rFonts w:ascii="Times New Roman" w:hAnsi="Times New Roman" w:eastAsia="仿宋"/>
                <w:kern w:val="0"/>
                <w:sz w:val="24"/>
                <w:szCs w:val="24"/>
              </w:rPr>
              <w:t>意见落实</w:t>
            </w:r>
            <w:r>
              <w:rPr>
                <w:rFonts w:hint="eastAsia" w:ascii="Times New Roman" w:hAnsi="Times New Roman" w:eastAsia="仿宋"/>
                <w:kern w:val="0"/>
                <w:sz w:val="24"/>
                <w:szCs w:val="24"/>
              </w:rPr>
              <w:t>核查要求或</w:t>
            </w:r>
            <w:r>
              <w:rPr>
                <w:rFonts w:ascii="Times New Roman" w:hAnsi="Times New Roman" w:eastAsia="仿宋"/>
                <w:kern w:val="0"/>
                <w:sz w:val="24"/>
                <w:szCs w:val="24"/>
              </w:rPr>
              <w:t>信息披露</w:t>
            </w:r>
            <w:r>
              <w:rPr>
                <w:rFonts w:hint="eastAsia" w:ascii="Times New Roman" w:hAnsi="Times New Roman" w:eastAsia="仿宋"/>
                <w:kern w:val="0"/>
                <w:sz w:val="24"/>
                <w:szCs w:val="24"/>
              </w:rPr>
              <w:t>要求。</w:t>
            </w:r>
          </w:p>
        </w:tc>
        <w:tc>
          <w:tcPr>
            <w:tcW w:w="1701" w:type="dxa"/>
            <w:vAlign w:val="center"/>
          </w:tcPr>
          <w:p>
            <w:pPr>
              <w:widowControl/>
              <w:spacing w:line="300" w:lineRule="exact"/>
              <w:jc w:val="center"/>
              <w:rPr>
                <w:rFonts w:ascii="Times New Roman" w:hAnsi="Times New Roman" w:eastAsia="仿宋"/>
                <w:kern w:val="0"/>
                <w:sz w:val="24"/>
                <w:szCs w:val="24"/>
              </w:rPr>
            </w:pPr>
            <w:r>
              <w:rPr>
                <w:rFonts w:hint="eastAsia" w:ascii="Times New Roman" w:hAnsi="Times New Roman" w:eastAsia="仿宋"/>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457" w:type="dxa"/>
            <w:shd w:val="clear" w:color="auto" w:fill="auto"/>
            <w:noWrap/>
            <w:vAlign w:val="center"/>
          </w:tcPr>
          <w:p>
            <w:pPr>
              <w:widowControl/>
              <w:spacing w:line="300" w:lineRule="exact"/>
              <w:jc w:val="center"/>
              <w:rPr>
                <w:rFonts w:ascii="Times New Roman" w:hAnsi="Times New Roman" w:eastAsia="仿宋"/>
                <w:kern w:val="0"/>
                <w:sz w:val="24"/>
                <w:szCs w:val="24"/>
              </w:rPr>
            </w:pPr>
            <w:r>
              <w:rPr>
                <w:rFonts w:hint="eastAsia" w:ascii="Times New Roman" w:hAnsi="Times New Roman" w:eastAsia="仿宋"/>
                <w:kern w:val="0"/>
                <w:sz w:val="24"/>
                <w:szCs w:val="24"/>
              </w:rPr>
              <w:t>8</w:t>
            </w:r>
          </w:p>
        </w:tc>
        <w:tc>
          <w:tcPr>
            <w:tcW w:w="851" w:type="dxa"/>
            <w:vMerge w:val="continue"/>
            <w:shd w:val="clear" w:color="auto" w:fill="auto"/>
            <w:vAlign w:val="center"/>
          </w:tcPr>
          <w:p>
            <w:pPr>
              <w:widowControl/>
              <w:spacing w:line="300" w:lineRule="exact"/>
              <w:jc w:val="center"/>
              <w:rPr>
                <w:rFonts w:ascii="Times New Roman" w:hAnsi="Times New Roman" w:eastAsia="仿宋"/>
                <w:kern w:val="0"/>
                <w:sz w:val="24"/>
                <w:szCs w:val="24"/>
              </w:rPr>
            </w:pPr>
          </w:p>
        </w:tc>
        <w:tc>
          <w:tcPr>
            <w:tcW w:w="1701" w:type="dxa"/>
            <w:shd w:val="clear" w:color="auto" w:fill="auto"/>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内幕信息知情人报备</w:t>
            </w:r>
          </w:p>
        </w:tc>
        <w:tc>
          <w:tcPr>
            <w:tcW w:w="4929" w:type="dxa"/>
            <w:shd w:val="clear" w:color="auto" w:fill="auto"/>
            <w:vAlign w:val="center"/>
          </w:tcPr>
          <w:p>
            <w:pPr>
              <w:widowControl/>
              <w:spacing w:line="300" w:lineRule="exact"/>
              <w:jc w:val="left"/>
              <w:rPr>
                <w:rFonts w:ascii="Times New Roman" w:hAnsi="Times New Roman" w:eastAsia="仿宋"/>
                <w:kern w:val="0"/>
                <w:sz w:val="24"/>
                <w:szCs w:val="24"/>
              </w:rPr>
            </w:pPr>
            <w:r>
              <w:rPr>
                <w:rFonts w:hint="eastAsia" w:ascii="Times New Roman" w:hAnsi="Times New Roman" w:eastAsia="仿宋"/>
                <w:kern w:val="0"/>
                <w:sz w:val="24"/>
                <w:szCs w:val="24"/>
              </w:rPr>
              <w:t>未按规定报备内幕知情人信息，或报备信息不完整、错误。</w:t>
            </w:r>
          </w:p>
        </w:tc>
        <w:tc>
          <w:tcPr>
            <w:tcW w:w="1701" w:type="dxa"/>
            <w:vAlign w:val="center"/>
          </w:tcPr>
          <w:p>
            <w:pPr>
              <w:widowControl/>
              <w:spacing w:line="300" w:lineRule="exact"/>
              <w:jc w:val="center"/>
              <w:rPr>
                <w:rFonts w:ascii="Times New Roman" w:hAnsi="Times New Roman" w:eastAsia="仿宋"/>
                <w:kern w:val="0"/>
                <w:sz w:val="24"/>
                <w:szCs w:val="24"/>
              </w:rPr>
            </w:pPr>
            <w:r>
              <w:rPr>
                <w:rFonts w:hint="eastAsia" w:ascii="Times New Roman" w:hAnsi="Times New Roman" w:eastAsia="仿宋"/>
                <w:kern w:val="0"/>
                <w:sz w:val="24"/>
                <w:szCs w:val="24"/>
              </w:rPr>
              <w:t>1</w:t>
            </w:r>
            <w:r>
              <w:rPr>
                <w:rFonts w:ascii="Times New Roman" w:hAnsi="Times New Roman" w:eastAsia="仿宋"/>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457" w:type="dxa"/>
            <w:shd w:val="clear" w:color="auto" w:fill="auto"/>
            <w:noWrap/>
            <w:vAlign w:val="center"/>
          </w:tcPr>
          <w:p>
            <w:pPr>
              <w:widowControl/>
              <w:spacing w:line="300" w:lineRule="exact"/>
              <w:jc w:val="center"/>
              <w:rPr>
                <w:rFonts w:ascii="Times New Roman" w:hAnsi="Times New Roman" w:eastAsia="仿宋"/>
                <w:kern w:val="0"/>
                <w:sz w:val="24"/>
                <w:szCs w:val="24"/>
              </w:rPr>
            </w:pPr>
            <w:r>
              <w:rPr>
                <w:rFonts w:hint="eastAsia" w:ascii="Times New Roman" w:hAnsi="Times New Roman" w:eastAsia="仿宋"/>
                <w:kern w:val="0"/>
                <w:sz w:val="24"/>
                <w:szCs w:val="24"/>
              </w:rPr>
              <w:t>9</w:t>
            </w:r>
          </w:p>
        </w:tc>
        <w:tc>
          <w:tcPr>
            <w:tcW w:w="851" w:type="dxa"/>
            <w:vMerge w:val="continue"/>
            <w:shd w:val="clear" w:color="auto" w:fill="auto"/>
            <w:vAlign w:val="center"/>
          </w:tcPr>
          <w:p>
            <w:pPr>
              <w:widowControl/>
              <w:spacing w:line="300" w:lineRule="exact"/>
              <w:jc w:val="center"/>
              <w:rPr>
                <w:rFonts w:ascii="Times New Roman" w:hAnsi="Times New Roman" w:eastAsia="仿宋"/>
                <w:kern w:val="0"/>
                <w:sz w:val="24"/>
                <w:szCs w:val="24"/>
              </w:rPr>
            </w:pPr>
          </w:p>
        </w:tc>
        <w:tc>
          <w:tcPr>
            <w:tcW w:w="1701" w:type="dxa"/>
            <w:shd w:val="clear" w:color="auto" w:fill="auto"/>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程序和形式</w:t>
            </w:r>
          </w:p>
        </w:tc>
        <w:tc>
          <w:tcPr>
            <w:tcW w:w="4929" w:type="dxa"/>
            <w:shd w:val="clear" w:color="auto" w:fill="auto"/>
            <w:vAlign w:val="center"/>
          </w:tcPr>
          <w:p>
            <w:pPr>
              <w:widowControl/>
              <w:spacing w:line="300" w:lineRule="exact"/>
              <w:jc w:val="left"/>
              <w:rPr>
                <w:rFonts w:ascii="Times New Roman" w:hAnsi="Times New Roman" w:eastAsia="仿宋"/>
                <w:bCs/>
                <w:kern w:val="0"/>
                <w:sz w:val="24"/>
                <w:szCs w:val="24"/>
              </w:rPr>
            </w:pPr>
            <w:r>
              <w:rPr>
                <w:rFonts w:hint="eastAsia" w:ascii="Times New Roman" w:hAnsi="Times New Roman" w:eastAsia="仿宋"/>
                <w:bCs/>
                <w:kern w:val="0"/>
                <w:sz w:val="24"/>
                <w:szCs w:val="24"/>
              </w:rPr>
              <w:t>文件报送过程中上传错误</w:t>
            </w:r>
            <w:r>
              <w:rPr>
                <w:rFonts w:ascii="Times New Roman" w:hAnsi="Times New Roman" w:eastAsia="仿宋"/>
                <w:bCs/>
                <w:kern w:val="0"/>
                <w:sz w:val="24"/>
                <w:szCs w:val="24"/>
              </w:rPr>
              <w:t>文件或遗漏文件。</w:t>
            </w:r>
          </w:p>
        </w:tc>
        <w:tc>
          <w:tcPr>
            <w:tcW w:w="1701" w:type="dxa"/>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10</w:t>
            </w:r>
          </w:p>
        </w:tc>
        <w:tc>
          <w:tcPr>
            <w:tcW w:w="851" w:type="dxa"/>
            <w:vMerge w:val="continue"/>
            <w:shd w:val="clear" w:color="auto" w:fill="auto"/>
            <w:vAlign w:val="center"/>
          </w:tcPr>
          <w:p>
            <w:pPr>
              <w:widowControl/>
              <w:spacing w:line="300" w:lineRule="exact"/>
              <w:jc w:val="center"/>
              <w:rPr>
                <w:rFonts w:ascii="Times New Roman" w:hAnsi="Times New Roman" w:eastAsia="仿宋"/>
                <w:kern w:val="0"/>
                <w:sz w:val="24"/>
                <w:szCs w:val="24"/>
              </w:rPr>
            </w:pPr>
          </w:p>
        </w:tc>
        <w:tc>
          <w:tcPr>
            <w:tcW w:w="1701" w:type="dxa"/>
            <w:vMerge w:val="restart"/>
            <w:shd w:val="clear" w:color="auto" w:fill="auto"/>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保荐督导</w:t>
            </w:r>
          </w:p>
        </w:tc>
        <w:tc>
          <w:tcPr>
            <w:tcW w:w="4929" w:type="dxa"/>
            <w:shd w:val="clear" w:color="auto" w:fill="auto"/>
            <w:vAlign w:val="center"/>
          </w:tcPr>
          <w:p>
            <w:pPr>
              <w:widowControl/>
              <w:spacing w:line="300" w:lineRule="exact"/>
              <w:jc w:val="left"/>
              <w:rPr>
                <w:rFonts w:ascii="Times New Roman" w:hAnsi="Times New Roman" w:eastAsia="仿宋"/>
                <w:bCs/>
                <w:kern w:val="0"/>
                <w:sz w:val="24"/>
                <w:szCs w:val="24"/>
              </w:rPr>
            </w:pPr>
            <w:r>
              <w:rPr>
                <w:rFonts w:hint="eastAsia" w:ascii="Times New Roman" w:hAnsi="Times New Roman" w:eastAsia="仿宋"/>
                <w:bCs/>
                <w:kern w:val="0"/>
                <w:sz w:val="24"/>
                <w:szCs w:val="24"/>
              </w:rPr>
              <w:t>因保荐</w:t>
            </w:r>
            <w:r>
              <w:rPr>
                <w:rFonts w:ascii="Times New Roman" w:hAnsi="Times New Roman" w:eastAsia="仿宋"/>
                <w:bCs/>
                <w:kern w:val="0"/>
                <w:sz w:val="24"/>
                <w:szCs w:val="24"/>
              </w:rPr>
              <w:t>督导期间未勤勉尽责，</w:t>
            </w:r>
            <w:r>
              <w:rPr>
                <w:rFonts w:hint="eastAsia" w:ascii="Times New Roman" w:hAnsi="Times New Roman" w:eastAsia="仿宋"/>
                <w:bCs/>
                <w:kern w:val="0"/>
                <w:sz w:val="24"/>
                <w:szCs w:val="24"/>
              </w:rPr>
              <w:t>履职不力被出具监管工作提示。</w:t>
            </w:r>
          </w:p>
        </w:tc>
        <w:tc>
          <w:tcPr>
            <w:tcW w:w="1701" w:type="dxa"/>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11</w:t>
            </w:r>
          </w:p>
        </w:tc>
        <w:tc>
          <w:tcPr>
            <w:tcW w:w="851" w:type="dxa"/>
            <w:vMerge w:val="continue"/>
            <w:shd w:val="clear" w:color="auto" w:fill="auto"/>
            <w:vAlign w:val="center"/>
          </w:tcPr>
          <w:p>
            <w:pPr>
              <w:widowControl/>
              <w:spacing w:line="300" w:lineRule="exact"/>
              <w:jc w:val="center"/>
              <w:rPr>
                <w:rFonts w:ascii="Times New Roman" w:hAnsi="Times New Roman" w:eastAsia="仿宋"/>
                <w:kern w:val="0"/>
                <w:sz w:val="24"/>
                <w:szCs w:val="24"/>
              </w:rPr>
            </w:pPr>
          </w:p>
        </w:tc>
        <w:tc>
          <w:tcPr>
            <w:tcW w:w="1701" w:type="dxa"/>
            <w:vMerge w:val="continue"/>
            <w:shd w:val="clear" w:color="auto" w:fill="auto"/>
            <w:vAlign w:val="center"/>
          </w:tcPr>
          <w:p>
            <w:pPr>
              <w:widowControl/>
              <w:spacing w:line="300" w:lineRule="exact"/>
              <w:jc w:val="center"/>
              <w:rPr>
                <w:rFonts w:ascii="Times New Roman" w:hAnsi="Times New Roman" w:eastAsia="仿宋"/>
                <w:bCs/>
                <w:kern w:val="0"/>
                <w:sz w:val="24"/>
                <w:szCs w:val="24"/>
              </w:rPr>
            </w:pPr>
          </w:p>
        </w:tc>
        <w:tc>
          <w:tcPr>
            <w:tcW w:w="4929" w:type="dxa"/>
            <w:shd w:val="clear" w:color="auto" w:fill="auto"/>
            <w:vAlign w:val="center"/>
          </w:tcPr>
          <w:p>
            <w:pPr>
              <w:widowControl/>
              <w:spacing w:line="300" w:lineRule="exact"/>
              <w:jc w:val="left"/>
              <w:rPr>
                <w:rFonts w:ascii="Times New Roman" w:hAnsi="Times New Roman" w:eastAsia="仿宋"/>
                <w:bCs/>
                <w:kern w:val="0"/>
                <w:sz w:val="24"/>
                <w:szCs w:val="24"/>
              </w:rPr>
            </w:pPr>
            <w:r>
              <w:rPr>
                <w:rFonts w:hint="eastAsia" w:ascii="Times New Roman" w:hAnsi="Times New Roman" w:eastAsia="仿宋"/>
                <w:bCs/>
                <w:kern w:val="0"/>
                <w:sz w:val="24"/>
                <w:szCs w:val="24"/>
              </w:rPr>
              <w:t>未按规定对上市公司相关事项发表意见。</w:t>
            </w:r>
          </w:p>
        </w:tc>
        <w:tc>
          <w:tcPr>
            <w:tcW w:w="1701" w:type="dxa"/>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12</w:t>
            </w:r>
          </w:p>
        </w:tc>
        <w:tc>
          <w:tcPr>
            <w:tcW w:w="851" w:type="dxa"/>
            <w:vMerge w:val="continue"/>
            <w:shd w:val="clear" w:color="auto" w:fill="auto"/>
            <w:vAlign w:val="center"/>
          </w:tcPr>
          <w:p>
            <w:pPr>
              <w:widowControl/>
              <w:spacing w:line="300" w:lineRule="exact"/>
              <w:jc w:val="center"/>
              <w:rPr>
                <w:rFonts w:ascii="Times New Roman" w:hAnsi="Times New Roman" w:eastAsia="仿宋"/>
                <w:kern w:val="0"/>
                <w:sz w:val="24"/>
                <w:szCs w:val="24"/>
              </w:rPr>
            </w:pPr>
          </w:p>
        </w:tc>
        <w:tc>
          <w:tcPr>
            <w:tcW w:w="1701" w:type="dxa"/>
            <w:shd w:val="clear" w:color="auto" w:fill="auto"/>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其他</w:t>
            </w:r>
          </w:p>
        </w:tc>
        <w:tc>
          <w:tcPr>
            <w:tcW w:w="4929" w:type="dxa"/>
            <w:shd w:val="clear" w:color="auto" w:fill="auto"/>
            <w:vAlign w:val="center"/>
          </w:tcPr>
          <w:p>
            <w:pPr>
              <w:widowControl/>
              <w:spacing w:line="300" w:lineRule="exact"/>
              <w:jc w:val="left"/>
              <w:rPr>
                <w:rFonts w:ascii="Times New Roman" w:hAnsi="Times New Roman" w:eastAsia="仿宋"/>
                <w:kern w:val="0"/>
                <w:sz w:val="24"/>
                <w:szCs w:val="24"/>
              </w:rPr>
            </w:pPr>
            <w:r>
              <w:rPr>
                <w:rFonts w:ascii="Times New Roman" w:hAnsi="Times New Roman" w:eastAsia="仿宋"/>
                <w:kern w:val="0"/>
                <w:sz w:val="24"/>
                <w:szCs w:val="24"/>
              </w:rPr>
              <w:t>其他发现的负面监管事项。</w:t>
            </w:r>
          </w:p>
        </w:tc>
        <w:tc>
          <w:tcPr>
            <w:tcW w:w="1701" w:type="dxa"/>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kern w:val="0"/>
                <w:sz w:val="24"/>
                <w:szCs w:val="24"/>
              </w:rPr>
              <w:t>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13</w:t>
            </w:r>
          </w:p>
        </w:tc>
        <w:tc>
          <w:tcPr>
            <w:tcW w:w="851" w:type="dxa"/>
            <w:vMerge w:val="restart"/>
            <w:shd w:val="clear" w:color="auto" w:fill="auto"/>
            <w:vAlign w:val="center"/>
          </w:tcPr>
          <w:p>
            <w:pPr>
              <w:widowControl/>
              <w:spacing w:line="300" w:lineRule="exact"/>
              <w:jc w:val="center"/>
              <w:rPr>
                <w:rFonts w:ascii="Times New Roman" w:hAnsi="Times New Roman" w:eastAsia="仿宋"/>
                <w:kern w:val="0"/>
                <w:sz w:val="24"/>
                <w:szCs w:val="24"/>
              </w:rPr>
            </w:pPr>
            <w:r>
              <w:rPr>
                <w:rFonts w:hint="eastAsia" w:ascii="Times New Roman" w:hAnsi="Times New Roman" w:eastAsia="仿宋"/>
                <w:kern w:val="0"/>
                <w:sz w:val="24"/>
                <w:szCs w:val="24"/>
              </w:rPr>
              <w:t>发行承销与并购</w:t>
            </w:r>
            <w:r>
              <w:rPr>
                <w:rFonts w:ascii="Times New Roman" w:hAnsi="Times New Roman" w:eastAsia="仿宋"/>
                <w:kern w:val="0"/>
                <w:sz w:val="24"/>
                <w:szCs w:val="24"/>
              </w:rPr>
              <w:t>业务负面行为</w:t>
            </w:r>
          </w:p>
          <w:p>
            <w:pPr>
              <w:spacing w:line="300" w:lineRule="exact"/>
              <w:jc w:val="center"/>
              <w:rPr>
                <w:rFonts w:ascii="Times New Roman" w:hAnsi="Times New Roman" w:eastAsia="仿宋"/>
                <w:kern w:val="0"/>
                <w:sz w:val="24"/>
                <w:szCs w:val="24"/>
              </w:rPr>
            </w:pPr>
          </w:p>
        </w:tc>
        <w:tc>
          <w:tcPr>
            <w:tcW w:w="1701" w:type="dxa"/>
            <w:vMerge w:val="restart"/>
            <w:shd w:val="clear" w:color="auto" w:fill="auto"/>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向不特定合格</w:t>
            </w:r>
            <w:r>
              <w:rPr>
                <w:rFonts w:ascii="Times New Roman" w:hAnsi="Times New Roman" w:eastAsia="仿宋"/>
                <w:bCs/>
                <w:kern w:val="0"/>
                <w:sz w:val="24"/>
                <w:szCs w:val="24"/>
              </w:rPr>
              <w:t>投资者</w:t>
            </w:r>
            <w:r>
              <w:rPr>
                <w:rFonts w:hint="eastAsia" w:ascii="Times New Roman" w:hAnsi="Times New Roman" w:eastAsia="仿宋"/>
                <w:bCs/>
                <w:kern w:val="0"/>
                <w:sz w:val="24"/>
                <w:szCs w:val="24"/>
              </w:rPr>
              <w:t>发行承销</w:t>
            </w:r>
          </w:p>
        </w:tc>
        <w:tc>
          <w:tcPr>
            <w:tcW w:w="4929" w:type="dxa"/>
            <w:shd w:val="clear" w:color="auto" w:fill="auto"/>
            <w:vAlign w:val="center"/>
          </w:tcPr>
          <w:p>
            <w:pPr>
              <w:widowControl/>
              <w:spacing w:line="300" w:lineRule="exact"/>
              <w:jc w:val="left"/>
              <w:rPr>
                <w:rFonts w:ascii="Times New Roman" w:hAnsi="Times New Roman" w:eastAsia="仿宋"/>
                <w:kern w:val="0"/>
                <w:sz w:val="24"/>
                <w:szCs w:val="24"/>
              </w:rPr>
            </w:pPr>
            <w:r>
              <w:rPr>
                <w:rFonts w:hint="eastAsia" w:ascii="Times New Roman" w:hAnsi="Times New Roman" w:eastAsia="仿宋"/>
                <w:bCs/>
                <w:kern w:val="0"/>
                <w:sz w:val="24"/>
                <w:szCs w:val="24"/>
              </w:rPr>
              <w:t>未按要求提交相关文件或文件存在信息缺失或错误。</w:t>
            </w:r>
          </w:p>
        </w:tc>
        <w:tc>
          <w:tcPr>
            <w:tcW w:w="1701" w:type="dxa"/>
            <w:vAlign w:val="center"/>
          </w:tcPr>
          <w:p>
            <w:pPr>
              <w:widowControl/>
              <w:spacing w:line="300" w:lineRule="exact"/>
              <w:jc w:val="center"/>
              <w:rPr>
                <w:rFonts w:ascii="Times New Roman" w:hAnsi="Times New Roman" w:eastAsia="仿宋"/>
                <w:kern w:val="0"/>
                <w:sz w:val="24"/>
                <w:szCs w:val="24"/>
              </w:rPr>
            </w:pPr>
            <w:r>
              <w:rPr>
                <w:rFonts w:ascii="Times New Roman" w:hAnsi="Times New Roman" w:eastAsia="仿宋"/>
                <w:bCs/>
                <w:kern w:val="0"/>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14</w:t>
            </w:r>
          </w:p>
        </w:tc>
        <w:tc>
          <w:tcPr>
            <w:tcW w:w="851" w:type="dxa"/>
            <w:vMerge w:val="continue"/>
            <w:shd w:val="clear" w:color="auto" w:fill="auto"/>
            <w:vAlign w:val="center"/>
          </w:tcPr>
          <w:p>
            <w:pPr>
              <w:spacing w:line="300" w:lineRule="exact"/>
              <w:jc w:val="center"/>
              <w:rPr>
                <w:rFonts w:ascii="Times New Roman" w:hAnsi="Times New Roman" w:eastAsia="仿宋"/>
                <w:kern w:val="0"/>
                <w:sz w:val="24"/>
                <w:szCs w:val="24"/>
              </w:rPr>
            </w:pPr>
          </w:p>
        </w:tc>
        <w:tc>
          <w:tcPr>
            <w:tcW w:w="1701" w:type="dxa"/>
            <w:vMerge w:val="continue"/>
            <w:shd w:val="clear" w:color="auto" w:fill="auto"/>
            <w:vAlign w:val="center"/>
          </w:tcPr>
          <w:p>
            <w:pPr>
              <w:widowControl/>
              <w:spacing w:line="300" w:lineRule="exact"/>
              <w:jc w:val="center"/>
              <w:rPr>
                <w:rFonts w:ascii="Times New Roman" w:hAnsi="Times New Roman" w:eastAsia="仿宋"/>
                <w:bCs/>
                <w:kern w:val="0"/>
                <w:sz w:val="24"/>
                <w:szCs w:val="24"/>
              </w:rPr>
            </w:pPr>
          </w:p>
        </w:tc>
        <w:tc>
          <w:tcPr>
            <w:tcW w:w="4929" w:type="dxa"/>
            <w:shd w:val="clear" w:color="auto" w:fill="auto"/>
            <w:vAlign w:val="center"/>
          </w:tcPr>
          <w:p>
            <w:pPr>
              <w:widowControl/>
              <w:spacing w:line="300" w:lineRule="exact"/>
              <w:jc w:val="left"/>
              <w:rPr>
                <w:rFonts w:ascii="Times New Roman" w:hAnsi="Times New Roman" w:eastAsia="仿宋"/>
                <w:kern w:val="0"/>
                <w:sz w:val="24"/>
                <w:szCs w:val="24"/>
              </w:rPr>
            </w:pPr>
            <w:r>
              <w:rPr>
                <w:rFonts w:hint="eastAsia" w:ascii="Times New Roman" w:hAnsi="Times New Roman" w:eastAsia="仿宋"/>
                <w:bCs/>
                <w:kern w:val="0"/>
                <w:sz w:val="24"/>
                <w:szCs w:val="24"/>
              </w:rPr>
              <w:t>发行承销文件不齐备、制作粗糙或未按规定模板制作。</w:t>
            </w:r>
          </w:p>
        </w:tc>
        <w:tc>
          <w:tcPr>
            <w:tcW w:w="1701" w:type="dxa"/>
            <w:vAlign w:val="center"/>
          </w:tcPr>
          <w:p>
            <w:pPr>
              <w:widowControl/>
              <w:spacing w:line="300" w:lineRule="exact"/>
              <w:jc w:val="center"/>
              <w:rPr>
                <w:rFonts w:ascii="Times New Roman" w:hAnsi="Times New Roman" w:eastAsia="仿宋"/>
                <w:kern w:val="0"/>
                <w:sz w:val="24"/>
                <w:szCs w:val="24"/>
              </w:rPr>
            </w:pPr>
            <w:r>
              <w:rPr>
                <w:rFonts w:ascii="Times New Roman" w:hAnsi="Times New Roman" w:eastAsia="仿宋"/>
                <w:bCs/>
                <w:kern w:val="0"/>
                <w:sz w:val="24"/>
                <w:szCs w:val="24"/>
              </w:rPr>
              <w:t>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15</w:t>
            </w:r>
          </w:p>
        </w:tc>
        <w:tc>
          <w:tcPr>
            <w:tcW w:w="851" w:type="dxa"/>
            <w:vMerge w:val="continue"/>
            <w:shd w:val="clear" w:color="auto" w:fill="auto"/>
            <w:vAlign w:val="center"/>
          </w:tcPr>
          <w:p>
            <w:pPr>
              <w:spacing w:line="300" w:lineRule="exact"/>
              <w:jc w:val="center"/>
              <w:rPr>
                <w:rFonts w:ascii="Times New Roman" w:hAnsi="Times New Roman" w:eastAsia="仿宋"/>
                <w:kern w:val="0"/>
                <w:sz w:val="24"/>
                <w:szCs w:val="24"/>
              </w:rPr>
            </w:pPr>
          </w:p>
        </w:tc>
        <w:tc>
          <w:tcPr>
            <w:tcW w:w="1701" w:type="dxa"/>
            <w:vMerge w:val="continue"/>
            <w:shd w:val="clear" w:color="auto" w:fill="auto"/>
            <w:vAlign w:val="center"/>
          </w:tcPr>
          <w:p>
            <w:pPr>
              <w:widowControl/>
              <w:spacing w:line="300" w:lineRule="exact"/>
              <w:jc w:val="center"/>
              <w:rPr>
                <w:rFonts w:ascii="Times New Roman" w:hAnsi="Times New Roman" w:eastAsia="仿宋"/>
                <w:bCs/>
                <w:kern w:val="0"/>
                <w:sz w:val="24"/>
                <w:szCs w:val="24"/>
              </w:rPr>
            </w:pPr>
          </w:p>
        </w:tc>
        <w:tc>
          <w:tcPr>
            <w:tcW w:w="4929" w:type="dxa"/>
            <w:shd w:val="clear" w:color="auto" w:fill="auto"/>
            <w:vAlign w:val="center"/>
          </w:tcPr>
          <w:p>
            <w:pPr>
              <w:widowControl/>
              <w:spacing w:line="300" w:lineRule="exact"/>
              <w:jc w:val="left"/>
              <w:rPr>
                <w:rFonts w:ascii="Times New Roman" w:hAnsi="Times New Roman" w:eastAsia="仿宋"/>
                <w:kern w:val="0"/>
                <w:sz w:val="24"/>
                <w:szCs w:val="24"/>
              </w:rPr>
            </w:pPr>
            <w:r>
              <w:rPr>
                <w:rFonts w:hint="eastAsia" w:ascii="Times New Roman" w:hAnsi="Times New Roman" w:eastAsia="仿宋"/>
                <w:kern w:val="0"/>
                <w:sz w:val="24"/>
                <w:szCs w:val="24"/>
              </w:rPr>
              <w:t>因文件上传</w:t>
            </w:r>
            <w:r>
              <w:rPr>
                <w:rFonts w:ascii="Times New Roman" w:hAnsi="Times New Roman" w:eastAsia="仿宋"/>
                <w:kern w:val="0"/>
                <w:sz w:val="24"/>
                <w:szCs w:val="24"/>
              </w:rPr>
              <w:t>不及时或错误</w:t>
            </w:r>
            <w:r>
              <w:rPr>
                <w:rFonts w:hint="eastAsia" w:ascii="Times New Roman" w:hAnsi="Times New Roman" w:eastAsia="仿宋"/>
                <w:kern w:val="0"/>
                <w:sz w:val="24"/>
                <w:szCs w:val="24"/>
              </w:rPr>
              <w:t>导致系统触发应急操作的行为。</w:t>
            </w:r>
          </w:p>
        </w:tc>
        <w:tc>
          <w:tcPr>
            <w:tcW w:w="1701" w:type="dxa"/>
            <w:vAlign w:val="center"/>
          </w:tcPr>
          <w:p>
            <w:pPr>
              <w:widowControl/>
              <w:spacing w:line="300" w:lineRule="exact"/>
              <w:jc w:val="center"/>
              <w:rPr>
                <w:rFonts w:ascii="Times New Roman" w:hAnsi="Times New Roman" w:eastAsia="仿宋"/>
                <w:kern w:val="0"/>
                <w:sz w:val="24"/>
                <w:szCs w:val="24"/>
              </w:rPr>
            </w:pPr>
            <w:r>
              <w:rPr>
                <w:rFonts w:ascii="Times New Roman" w:hAnsi="Times New Roman" w:eastAsia="仿宋"/>
                <w:bCs/>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16</w:t>
            </w:r>
          </w:p>
        </w:tc>
        <w:tc>
          <w:tcPr>
            <w:tcW w:w="851" w:type="dxa"/>
            <w:vMerge w:val="continue"/>
            <w:shd w:val="clear" w:color="auto" w:fill="auto"/>
            <w:vAlign w:val="center"/>
          </w:tcPr>
          <w:p>
            <w:pPr>
              <w:widowControl/>
              <w:spacing w:line="300" w:lineRule="exact"/>
              <w:jc w:val="center"/>
              <w:rPr>
                <w:rFonts w:ascii="Times New Roman" w:hAnsi="Times New Roman" w:eastAsia="仿宋"/>
                <w:kern w:val="0"/>
                <w:sz w:val="24"/>
                <w:szCs w:val="24"/>
              </w:rPr>
            </w:pPr>
          </w:p>
        </w:tc>
        <w:tc>
          <w:tcPr>
            <w:tcW w:w="1701" w:type="dxa"/>
            <w:vMerge w:val="restart"/>
            <w:shd w:val="clear" w:color="auto" w:fill="auto"/>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向特定对象发行承销</w:t>
            </w:r>
          </w:p>
        </w:tc>
        <w:tc>
          <w:tcPr>
            <w:tcW w:w="4929" w:type="dxa"/>
            <w:shd w:val="clear" w:color="auto" w:fill="auto"/>
            <w:vAlign w:val="center"/>
          </w:tcPr>
          <w:p>
            <w:pPr>
              <w:widowControl/>
              <w:spacing w:line="300" w:lineRule="exact"/>
              <w:jc w:val="left"/>
              <w:rPr>
                <w:rFonts w:ascii="Times New Roman" w:hAnsi="Times New Roman" w:eastAsia="仿宋"/>
                <w:kern w:val="0"/>
                <w:sz w:val="24"/>
                <w:szCs w:val="24"/>
              </w:rPr>
            </w:pPr>
            <w:r>
              <w:rPr>
                <w:rFonts w:hint="eastAsia" w:ascii="Times New Roman" w:hAnsi="Times New Roman" w:eastAsia="仿宋"/>
                <w:bCs/>
                <w:kern w:val="0"/>
                <w:sz w:val="24"/>
                <w:szCs w:val="24"/>
              </w:rPr>
              <w:t>未按要求提交相关文件或文件存在信息缺失或错误。</w:t>
            </w:r>
          </w:p>
        </w:tc>
        <w:tc>
          <w:tcPr>
            <w:tcW w:w="1701" w:type="dxa"/>
            <w:vAlign w:val="center"/>
          </w:tcPr>
          <w:p>
            <w:pPr>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1</w:t>
            </w:r>
            <w:r>
              <w:rPr>
                <w:rFonts w:hint="eastAsia" w:ascii="Times New Roman" w:hAnsi="Times New Roman" w:eastAsia="仿宋"/>
                <w:bCs/>
                <w:kern w:val="0"/>
                <w:sz w:val="24"/>
                <w:szCs w:val="24"/>
              </w:rPr>
              <w:t>7</w:t>
            </w:r>
          </w:p>
        </w:tc>
        <w:tc>
          <w:tcPr>
            <w:tcW w:w="851" w:type="dxa"/>
            <w:vMerge w:val="continue"/>
            <w:shd w:val="clear" w:color="auto" w:fill="auto"/>
            <w:vAlign w:val="center"/>
          </w:tcPr>
          <w:p>
            <w:pPr>
              <w:widowControl/>
              <w:spacing w:line="300" w:lineRule="exact"/>
              <w:jc w:val="center"/>
              <w:rPr>
                <w:rFonts w:ascii="Times New Roman" w:hAnsi="Times New Roman" w:eastAsia="仿宋"/>
                <w:kern w:val="0"/>
                <w:sz w:val="24"/>
                <w:szCs w:val="24"/>
              </w:rPr>
            </w:pPr>
          </w:p>
        </w:tc>
        <w:tc>
          <w:tcPr>
            <w:tcW w:w="1701" w:type="dxa"/>
            <w:vMerge w:val="continue"/>
            <w:shd w:val="clear" w:color="auto" w:fill="auto"/>
            <w:vAlign w:val="center"/>
          </w:tcPr>
          <w:p>
            <w:pPr>
              <w:widowControl/>
              <w:spacing w:line="300" w:lineRule="exact"/>
              <w:jc w:val="center"/>
              <w:rPr>
                <w:rFonts w:ascii="Times New Roman" w:hAnsi="Times New Roman" w:eastAsia="仿宋"/>
                <w:bCs/>
                <w:kern w:val="0"/>
                <w:sz w:val="24"/>
                <w:szCs w:val="24"/>
              </w:rPr>
            </w:pPr>
          </w:p>
        </w:tc>
        <w:tc>
          <w:tcPr>
            <w:tcW w:w="4929" w:type="dxa"/>
            <w:shd w:val="clear" w:color="auto" w:fill="auto"/>
            <w:vAlign w:val="center"/>
          </w:tcPr>
          <w:p>
            <w:pPr>
              <w:widowControl/>
              <w:spacing w:line="300" w:lineRule="exact"/>
              <w:jc w:val="left"/>
              <w:rPr>
                <w:rFonts w:ascii="Times New Roman" w:hAnsi="Times New Roman" w:eastAsia="仿宋"/>
                <w:kern w:val="0"/>
                <w:sz w:val="24"/>
                <w:szCs w:val="24"/>
              </w:rPr>
            </w:pPr>
            <w:r>
              <w:rPr>
                <w:rFonts w:hint="eastAsia" w:ascii="Times New Roman" w:hAnsi="Times New Roman" w:eastAsia="仿宋"/>
                <w:bCs/>
                <w:kern w:val="0"/>
                <w:sz w:val="24"/>
                <w:szCs w:val="24"/>
              </w:rPr>
              <w:t>发行承销文件不齐备、制作粗糙或未按规定模板制作。</w:t>
            </w:r>
          </w:p>
        </w:tc>
        <w:tc>
          <w:tcPr>
            <w:tcW w:w="1701" w:type="dxa"/>
            <w:vAlign w:val="center"/>
          </w:tcPr>
          <w:p>
            <w:pPr>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1</w:t>
            </w:r>
            <w:r>
              <w:rPr>
                <w:rFonts w:hint="eastAsia" w:ascii="Times New Roman" w:hAnsi="Times New Roman" w:eastAsia="仿宋"/>
                <w:bCs/>
                <w:kern w:val="0"/>
                <w:sz w:val="24"/>
                <w:szCs w:val="24"/>
              </w:rPr>
              <w:t>8</w:t>
            </w:r>
          </w:p>
        </w:tc>
        <w:tc>
          <w:tcPr>
            <w:tcW w:w="851" w:type="dxa"/>
            <w:vMerge w:val="continue"/>
            <w:shd w:val="clear" w:color="auto" w:fill="auto"/>
            <w:vAlign w:val="center"/>
          </w:tcPr>
          <w:p>
            <w:pPr>
              <w:spacing w:line="300" w:lineRule="exact"/>
              <w:rPr>
                <w:rFonts w:ascii="Times New Roman" w:hAnsi="Times New Roman" w:eastAsia="仿宋"/>
                <w:kern w:val="0"/>
                <w:sz w:val="24"/>
                <w:szCs w:val="24"/>
              </w:rPr>
            </w:pPr>
          </w:p>
        </w:tc>
        <w:tc>
          <w:tcPr>
            <w:tcW w:w="1701" w:type="dxa"/>
            <w:vMerge w:val="restart"/>
            <w:shd w:val="clear" w:color="auto" w:fill="auto"/>
            <w:vAlign w:val="center"/>
          </w:tcPr>
          <w:p>
            <w:pPr>
              <w:spacing w:line="300" w:lineRule="exact"/>
              <w:jc w:val="center"/>
              <w:rPr>
                <w:rFonts w:ascii="Times New Roman" w:hAnsi="Times New Roman" w:eastAsia="仿宋"/>
                <w:kern w:val="0"/>
                <w:sz w:val="24"/>
                <w:szCs w:val="24"/>
              </w:rPr>
            </w:pPr>
            <w:r>
              <w:rPr>
                <w:rFonts w:hint="eastAsia" w:ascii="Times New Roman" w:hAnsi="Times New Roman" w:eastAsia="仿宋"/>
                <w:kern w:val="0"/>
                <w:sz w:val="24"/>
                <w:szCs w:val="24"/>
              </w:rPr>
              <w:t>并购重组</w:t>
            </w:r>
          </w:p>
        </w:tc>
        <w:tc>
          <w:tcPr>
            <w:tcW w:w="4929" w:type="dxa"/>
            <w:shd w:val="clear" w:color="auto" w:fill="auto"/>
            <w:vAlign w:val="center"/>
          </w:tcPr>
          <w:p>
            <w:pPr>
              <w:widowControl/>
              <w:spacing w:line="300" w:lineRule="exact"/>
              <w:jc w:val="left"/>
              <w:rPr>
                <w:rFonts w:ascii="Times New Roman" w:hAnsi="Times New Roman" w:eastAsia="仿宋"/>
                <w:bCs/>
                <w:kern w:val="0"/>
                <w:sz w:val="24"/>
                <w:szCs w:val="24"/>
              </w:rPr>
            </w:pPr>
            <w:r>
              <w:rPr>
                <w:rFonts w:hint="eastAsia" w:ascii="Times New Roman" w:hAnsi="Times New Roman" w:eastAsia="仿宋"/>
                <w:bCs/>
                <w:kern w:val="0"/>
                <w:sz w:val="24"/>
                <w:szCs w:val="24"/>
              </w:rPr>
              <w:t>未按要求提交相关文件或文件存在信息缺失或错误。</w:t>
            </w:r>
          </w:p>
        </w:tc>
        <w:tc>
          <w:tcPr>
            <w:tcW w:w="1701" w:type="dxa"/>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1</w:t>
            </w:r>
            <w:r>
              <w:rPr>
                <w:rFonts w:hint="eastAsia" w:ascii="Times New Roman" w:hAnsi="Times New Roman" w:eastAsia="仿宋"/>
                <w:bCs/>
                <w:kern w:val="0"/>
                <w:sz w:val="24"/>
                <w:szCs w:val="24"/>
              </w:rPr>
              <w:t>9</w:t>
            </w:r>
          </w:p>
        </w:tc>
        <w:tc>
          <w:tcPr>
            <w:tcW w:w="851" w:type="dxa"/>
            <w:vMerge w:val="continue"/>
            <w:shd w:val="clear" w:color="auto" w:fill="auto"/>
            <w:vAlign w:val="center"/>
          </w:tcPr>
          <w:p>
            <w:pPr>
              <w:spacing w:line="300" w:lineRule="exact"/>
              <w:jc w:val="center"/>
              <w:rPr>
                <w:rFonts w:ascii="Times New Roman" w:hAnsi="Times New Roman" w:eastAsia="仿宋"/>
                <w:kern w:val="0"/>
                <w:sz w:val="24"/>
                <w:szCs w:val="24"/>
              </w:rPr>
            </w:pPr>
          </w:p>
        </w:tc>
        <w:tc>
          <w:tcPr>
            <w:tcW w:w="1701" w:type="dxa"/>
            <w:vMerge w:val="continue"/>
            <w:shd w:val="clear" w:color="auto" w:fill="auto"/>
            <w:vAlign w:val="center"/>
          </w:tcPr>
          <w:p>
            <w:pPr>
              <w:widowControl/>
              <w:spacing w:line="300" w:lineRule="exact"/>
              <w:jc w:val="center"/>
              <w:rPr>
                <w:rFonts w:ascii="Times New Roman" w:hAnsi="Times New Roman" w:eastAsia="仿宋"/>
                <w:kern w:val="0"/>
                <w:sz w:val="24"/>
                <w:szCs w:val="24"/>
              </w:rPr>
            </w:pPr>
          </w:p>
        </w:tc>
        <w:tc>
          <w:tcPr>
            <w:tcW w:w="4929" w:type="dxa"/>
            <w:shd w:val="clear" w:color="auto" w:fill="auto"/>
            <w:vAlign w:val="center"/>
          </w:tcPr>
          <w:p>
            <w:pPr>
              <w:widowControl/>
              <w:spacing w:line="300" w:lineRule="exact"/>
              <w:jc w:val="left"/>
              <w:rPr>
                <w:rFonts w:ascii="Times New Roman" w:hAnsi="Times New Roman" w:eastAsia="仿宋"/>
                <w:bCs/>
                <w:kern w:val="0"/>
                <w:sz w:val="24"/>
                <w:szCs w:val="24"/>
              </w:rPr>
            </w:pPr>
            <w:r>
              <w:rPr>
                <w:rFonts w:hint="eastAsia" w:ascii="Times New Roman" w:hAnsi="Times New Roman" w:eastAsia="仿宋"/>
                <w:bCs/>
                <w:kern w:val="0"/>
                <w:sz w:val="24"/>
                <w:szCs w:val="24"/>
              </w:rPr>
              <w:t>未按规定履行程序。</w:t>
            </w:r>
          </w:p>
        </w:tc>
        <w:tc>
          <w:tcPr>
            <w:tcW w:w="1701" w:type="dxa"/>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57" w:type="dxa"/>
            <w:shd w:val="clear" w:color="auto" w:fill="auto"/>
            <w:noWrap/>
            <w:vAlign w:val="center"/>
          </w:tcPr>
          <w:p>
            <w:pPr>
              <w:widowControl/>
              <w:spacing w:line="300" w:lineRule="exact"/>
              <w:jc w:val="center"/>
              <w:rPr>
                <w:rFonts w:ascii="Times New Roman" w:hAnsi="Times New Roman" w:eastAsia="仿宋"/>
                <w:sz w:val="24"/>
                <w:szCs w:val="24"/>
              </w:rPr>
            </w:pPr>
            <w:r>
              <w:rPr>
                <w:rFonts w:hint="eastAsia" w:ascii="Times New Roman" w:hAnsi="Times New Roman" w:eastAsia="仿宋"/>
                <w:bCs/>
                <w:kern w:val="0"/>
                <w:sz w:val="24"/>
                <w:szCs w:val="24"/>
              </w:rPr>
              <w:t>20</w:t>
            </w:r>
          </w:p>
        </w:tc>
        <w:tc>
          <w:tcPr>
            <w:tcW w:w="851" w:type="dxa"/>
            <w:vMerge w:val="continue"/>
            <w:shd w:val="clear" w:color="auto" w:fill="auto"/>
            <w:vAlign w:val="center"/>
          </w:tcPr>
          <w:p>
            <w:pPr>
              <w:widowControl/>
              <w:spacing w:line="300" w:lineRule="exact"/>
              <w:jc w:val="center"/>
              <w:rPr>
                <w:rFonts w:ascii="Times New Roman" w:hAnsi="Times New Roman" w:eastAsia="仿宋"/>
                <w:kern w:val="0"/>
                <w:sz w:val="24"/>
                <w:szCs w:val="24"/>
              </w:rPr>
            </w:pPr>
          </w:p>
        </w:tc>
        <w:tc>
          <w:tcPr>
            <w:tcW w:w="1701" w:type="dxa"/>
            <w:shd w:val="clear" w:color="auto" w:fill="auto"/>
            <w:vAlign w:val="center"/>
          </w:tcPr>
          <w:p>
            <w:pPr>
              <w:widowControl/>
              <w:spacing w:line="300" w:lineRule="exact"/>
              <w:jc w:val="center"/>
              <w:rPr>
                <w:rFonts w:ascii="Times New Roman" w:hAnsi="Times New Roman" w:eastAsia="仿宋"/>
                <w:kern w:val="0"/>
                <w:sz w:val="24"/>
                <w:szCs w:val="24"/>
              </w:rPr>
            </w:pPr>
            <w:r>
              <w:rPr>
                <w:rFonts w:ascii="Times New Roman" w:hAnsi="Times New Roman" w:eastAsia="仿宋"/>
                <w:kern w:val="0"/>
                <w:sz w:val="24"/>
                <w:szCs w:val="24"/>
              </w:rPr>
              <w:t>其他</w:t>
            </w:r>
          </w:p>
        </w:tc>
        <w:tc>
          <w:tcPr>
            <w:tcW w:w="4929" w:type="dxa"/>
            <w:shd w:val="clear" w:color="auto" w:fill="auto"/>
            <w:vAlign w:val="center"/>
          </w:tcPr>
          <w:p>
            <w:pPr>
              <w:widowControl/>
              <w:spacing w:line="300" w:lineRule="exact"/>
              <w:jc w:val="left"/>
              <w:rPr>
                <w:rFonts w:ascii="Times New Roman" w:hAnsi="Times New Roman" w:eastAsia="仿宋"/>
                <w:kern w:val="0"/>
                <w:sz w:val="24"/>
                <w:szCs w:val="24"/>
              </w:rPr>
            </w:pPr>
            <w:r>
              <w:rPr>
                <w:rFonts w:ascii="Times New Roman" w:hAnsi="Times New Roman" w:eastAsia="仿宋"/>
                <w:kern w:val="0"/>
                <w:sz w:val="24"/>
                <w:szCs w:val="24"/>
              </w:rPr>
              <w:t>其他发现的负面监管事项。</w:t>
            </w:r>
          </w:p>
        </w:tc>
        <w:tc>
          <w:tcPr>
            <w:tcW w:w="1701" w:type="dxa"/>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kern w:val="0"/>
                <w:sz w:val="24"/>
                <w:szCs w:val="24"/>
              </w:rPr>
              <w:t>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21</w:t>
            </w:r>
          </w:p>
        </w:tc>
        <w:tc>
          <w:tcPr>
            <w:tcW w:w="851" w:type="dxa"/>
            <w:vMerge w:val="restart"/>
            <w:shd w:val="clear" w:color="auto" w:fill="auto"/>
            <w:vAlign w:val="center"/>
          </w:tcPr>
          <w:p>
            <w:pPr>
              <w:widowControl/>
              <w:spacing w:line="300" w:lineRule="exact"/>
              <w:jc w:val="center"/>
              <w:rPr>
                <w:rFonts w:ascii="Times New Roman" w:hAnsi="Times New Roman" w:eastAsia="仿宋"/>
                <w:kern w:val="0"/>
                <w:sz w:val="24"/>
                <w:szCs w:val="24"/>
              </w:rPr>
            </w:pPr>
            <w:r>
              <w:rPr>
                <w:rFonts w:hint="eastAsia" w:ascii="Times New Roman" w:hAnsi="Times New Roman" w:eastAsia="仿宋"/>
                <w:kern w:val="0"/>
                <w:sz w:val="24"/>
                <w:szCs w:val="24"/>
              </w:rPr>
              <w:t>做市业务负面行为</w:t>
            </w:r>
          </w:p>
        </w:tc>
        <w:tc>
          <w:tcPr>
            <w:tcW w:w="1701" w:type="dxa"/>
            <w:vMerge w:val="restart"/>
            <w:shd w:val="clear" w:color="auto" w:fill="auto"/>
            <w:vAlign w:val="center"/>
          </w:tcPr>
          <w:p>
            <w:pPr>
              <w:widowControl/>
              <w:spacing w:line="300" w:lineRule="exact"/>
              <w:jc w:val="center"/>
              <w:rPr>
                <w:rFonts w:ascii="Times New Roman" w:hAnsi="Times New Roman" w:eastAsia="仿宋"/>
                <w:kern w:val="0"/>
                <w:sz w:val="24"/>
                <w:szCs w:val="24"/>
              </w:rPr>
            </w:pPr>
            <w:r>
              <w:rPr>
                <w:rFonts w:hint="eastAsia" w:ascii="Times New Roman" w:hAnsi="Times New Roman" w:eastAsia="仿宋"/>
                <w:kern w:val="0"/>
                <w:sz w:val="24"/>
                <w:szCs w:val="24"/>
              </w:rPr>
              <w:t>业务申请</w:t>
            </w:r>
          </w:p>
        </w:tc>
        <w:tc>
          <w:tcPr>
            <w:tcW w:w="4929" w:type="dxa"/>
            <w:shd w:val="clear" w:color="auto" w:fill="auto"/>
            <w:vAlign w:val="center"/>
          </w:tcPr>
          <w:p>
            <w:pPr>
              <w:widowControl/>
              <w:spacing w:line="300" w:lineRule="exact"/>
              <w:jc w:val="left"/>
              <w:rPr>
                <w:rFonts w:ascii="Times New Roman" w:hAnsi="Times New Roman" w:eastAsia="仿宋"/>
                <w:kern w:val="0"/>
                <w:sz w:val="24"/>
                <w:szCs w:val="24"/>
              </w:rPr>
            </w:pPr>
            <w:r>
              <w:rPr>
                <w:rFonts w:hint="eastAsia" w:ascii="Times New Roman" w:hAnsi="Times New Roman" w:eastAsia="仿宋"/>
                <w:kern w:val="0"/>
                <w:sz w:val="24"/>
                <w:szCs w:val="24"/>
              </w:rPr>
              <w:t>业务申请材料未按照北交所做市规则中的相关规定出具。</w:t>
            </w:r>
          </w:p>
        </w:tc>
        <w:tc>
          <w:tcPr>
            <w:tcW w:w="1701" w:type="dxa"/>
            <w:vAlign w:val="center"/>
          </w:tcPr>
          <w:p>
            <w:pPr>
              <w:widowControl/>
              <w:spacing w:line="300" w:lineRule="exact"/>
              <w:jc w:val="center"/>
              <w:rPr>
                <w:rFonts w:ascii="Times New Roman" w:hAnsi="Times New Roman" w:eastAsia="仿宋"/>
                <w:kern w:val="0"/>
                <w:sz w:val="24"/>
                <w:szCs w:val="24"/>
                <w:lang w:val="en"/>
              </w:rPr>
            </w:pPr>
            <w:r>
              <w:rPr>
                <w:rFonts w:ascii="Times New Roman" w:hAnsi="Times New Roman" w:eastAsia="仿宋"/>
                <w:kern w:val="0"/>
                <w:sz w:val="24"/>
                <w:szCs w:val="24"/>
                <w:lang w:val="e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22</w:t>
            </w:r>
          </w:p>
        </w:tc>
        <w:tc>
          <w:tcPr>
            <w:tcW w:w="851" w:type="dxa"/>
            <w:vMerge w:val="continue"/>
            <w:shd w:val="clear" w:color="auto" w:fill="auto"/>
            <w:vAlign w:val="center"/>
          </w:tcPr>
          <w:p>
            <w:pPr>
              <w:widowControl/>
              <w:spacing w:line="300" w:lineRule="exact"/>
              <w:jc w:val="center"/>
              <w:rPr>
                <w:rFonts w:ascii="Times New Roman" w:hAnsi="Times New Roman" w:eastAsia="仿宋"/>
                <w:kern w:val="0"/>
                <w:sz w:val="24"/>
                <w:szCs w:val="24"/>
              </w:rPr>
            </w:pPr>
          </w:p>
        </w:tc>
        <w:tc>
          <w:tcPr>
            <w:tcW w:w="1701" w:type="dxa"/>
            <w:vMerge w:val="continue"/>
            <w:shd w:val="clear" w:color="auto" w:fill="auto"/>
            <w:vAlign w:val="center"/>
          </w:tcPr>
          <w:p>
            <w:pPr>
              <w:widowControl/>
              <w:spacing w:line="300" w:lineRule="exact"/>
              <w:jc w:val="center"/>
              <w:rPr>
                <w:rFonts w:ascii="Times New Roman" w:hAnsi="Times New Roman" w:eastAsia="仿宋"/>
                <w:kern w:val="0"/>
                <w:sz w:val="24"/>
                <w:szCs w:val="24"/>
              </w:rPr>
            </w:pPr>
          </w:p>
        </w:tc>
        <w:tc>
          <w:tcPr>
            <w:tcW w:w="4929" w:type="dxa"/>
            <w:shd w:val="clear" w:color="auto" w:fill="auto"/>
            <w:vAlign w:val="center"/>
          </w:tcPr>
          <w:p>
            <w:pPr>
              <w:widowControl/>
              <w:spacing w:line="300" w:lineRule="exact"/>
              <w:jc w:val="left"/>
              <w:rPr>
                <w:rFonts w:ascii="Times New Roman" w:hAnsi="Times New Roman" w:eastAsia="仿宋"/>
                <w:kern w:val="0"/>
                <w:sz w:val="24"/>
                <w:szCs w:val="24"/>
              </w:rPr>
            </w:pPr>
            <w:r>
              <w:rPr>
                <w:rFonts w:hint="eastAsia" w:ascii="Times New Roman" w:hAnsi="Times New Roman" w:eastAsia="仿宋"/>
                <w:kern w:val="0"/>
                <w:sz w:val="24"/>
                <w:szCs w:val="24"/>
              </w:rPr>
              <w:t>业务申请材料存在关键要素缺失或错误。</w:t>
            </w:r>
          </w:p>
        </w:tc>
        <w:tc>
          <w:tcPr>
            <w:tcW w:w="1701" w:type="dxa"/>
            <w:vAlign w:val="center"/>
          </w:tcPr>
          <w:p>
            <w:pPr>
              <w:widowControl/>
              <w:spacing w:line="300" w:lineRule="exact"/>
              <w:jc w:val="center"/>
              <w:rPr>
                <w:rFonts w:ascii="Times New Roman" w:hAnsi="Times New Roman" w:eastAsia="仿宋"/>
                <w:kern w:val="0"/>
                <w:sz w:val="24"/>
                <w:szCs w:val="24"/>
                <w:lang w:val="en"/>
              </w:rPr>
            </w:pPr>
            <w:r>
              <w:rPr>
                <w:rFonts w:ascii="Times New Roman" w:hAnsi="Times New Roman" w:eastAsia="仿宋"/>
                <w:kern w:val="0"/>
                <w:sz w:val="24"/>
                <w:szCs w:val="24"/>
                <w:lang w:val="e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23</w:t>
            </w:r>
          </w:p>
        </w:tc>
        <w:tc>
          <w:tcPr>
            <w:tcW w:w="851" w:type="dxa"/>
            <w:vMerge w:val="continue"/>
            <w:shd w:val="clear" w:color="auto" w:fill="auto"/>
            <w:vAlign w:val="center"/>
          </w:tcPr>
          <w:p>
            <w:pPr>
              <w:widowControl/>
              <w:spacing w:line="300" w:lineRule="exact"/>
              <w:jc w:val="center"/>
              <w:rPr>
                <w:rFonts w:ascii="Times New Roman" w:hAnsi="Times New Roman" w:eastAsia="仿宋"/>
                <w:kern w:val="0"/>
                <w:sz w:val="24"/>
                <w:szCs w:val="24"/>
              </w:rPr>
            </w:pPr>
          </w:p>
        </w:tc>
        <w:tc>
          <w:tcPr>
            <w:tcW w:w="1701" w:type="dxa"/>
            <w:vMerge w:val="continue"/>
            <w:shd w:val="clear" w:color="auto" w:fill="auto"/>
            <w:vAlign w:val="center"/>
          </w:tcPr>
          <w:p>
            <w:pPr>
              <w:widowControl/>
              <w:spacing w:line="300" w:lineRule="exact"/>
              <w:jc w:val="center"/>
              <w:rPr>
                <w:rFonts w:ascii="Times New Roman" w:hAnsi="Times New Roman" w:eastAsia="仿宋"/>
                <w:kern w:val="0"/>
                <w:sz w:val="24"/>
                <w:szCs w:val="24"/>
              </w:rPr>
            </w:pPr>
          </w:p>
        </w:tc>
        <w:tc>
          <w:tcPr>
            <w:tcW w:w="4929" w:type="dxa"/>
            <w:shd w:val="clear" w:color="auto" w:fill="auto"/>
            <w:vAlign w:val="center"/>
          </w:tcPr>
          <w:p>
            <w:pPr>
              <w:widowControl/>
              <w:spacing w:line="300" w:lineRule="exact"/>
              <w:jc w:val="left"/>
              <w:rPr>
                <w:rFonts w:ascii="Times New Roman" w:hAnsi="Times New Roman" w:eastAsia="仿宋"/>
                <w:kern w:val="0"/>
                <w:sz w:val="24"/>
                <w:szCs w:val="24"/>
              </w:rPr>
            </w:pPr>
            <w:r>
              <w:rPr>
                <w:rFonts w:hint="eastAsia" w:ascii="Times New Roman" w:hAnsi="Times New Roman" w:eastAsia="仿宋"/>
                <w:kern w:val="0"/>
                <w:sz w:val="24"/>
                <w:szCs w:val="24"/>
              </w:rPr>
              <w:t>未在规则要求的时限内提交业务申请材料。</w:t>
            </w:r>
          </w:p>
        </w:tc>
        <w:tc>
          <w:tcPr>
            <w:tcW w:w="1701" w:type="dxa"/>
            <w:vAlign w:val="center"/>
          </w:tcPr>
          <w:p>
            <w:pPr>
              <w:widowControl/>
              <w:spacing w:line="300" w:lineRule="exact"/>
              <w:jc w:val="center"/>
              <w:rPr>
                <w:rFonts w:ascii="Times New Roman" w:hAnsi="Times New Roman" w:eastAsia="仿宋"/>
                <w:kern w:val="0"/>
                <w:sz w:val="24"/>
                <w:szCs w:val="24"/>
                <w:lang w:val="en"/>
              </w:rPr>
            </w:pPr>
            <w:r>
              <w:rPr>
                <w:rFonts w:ascii="Times New Roman" w:hAnsi="Times New Roman" w:eastAsia="仿宋"/>
                <w:kern w:val="0"/>
                <w:sz w:val="24"/>
                <w:szCs w:val="24"/>
                <w:lang w:val="e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24</w:t>
            </w:r>
          </w:p>
        </w:tc>
        <w:tc>
          <w:tcPr>
            <w:tcW w:w="851" w:type="dxa"/>
            <w:vMerge w:val="continue"/>
            <w:shd w:val="clear" w:color="auto" w:fill="auto"/>
            <w:vAlign w:val="center"/>
          </w:tcPr>
          <w:p>
            <w:pPr>
              <w:widowControl/>
              <w:spacing w:line="300" w:lineRule="exact"/>
              <w:jc w:val="center"/>
              <w:rPr>
                <w:rFonts w:ascii="Times New Roman" w:hAnsi="Times New Roman" w:eastAsia="仿宋"/>
                <w:kern w:val="0"/>
                <w:sz w:val="24"/>
                <w:szCs w:val="24"/>
              </w:rPr>
            </w:pPr>
          </w:p>
        </w:tc>
        <w:tc>
          <w:tcPr>
            <w:tcW w:w="1701" w:type="dxa"/>
            <w:vMerge w:val="continue"/>
            <w:shd w:val="clear" w:color="auto" w:fill="auto"/>
            <w:vAlign w:val="center"/>
          </w:tcPr>
          <w:p>
            <w:pPr>
              <w:widowControl/>
              <w:spacing w:line="300" w:lineRule="exact"/>
              <w:jc w:val="center"/>
              <w:rPr>
                <w:rFonts w:ascii="Times New Roman" w:hAnsi="Times New Roman" w:eastAsia="仿宋"/>
                <w:kern w:val="0"/>
                <w:sz w:val="24"/>
                <w:szCs w:val="24"/>
              </w:rPr>
            </w:pPr>
          </w:p>
        </w:tc>
        <w:tc>
          <w:tcPr>
            <w:tcW w:w="4929" w:type="dxa"/>
            <w:shd w:val="clear" w:color="auto" w:fill="auto"/>
            <w:vAlign w:val="center"/>
          </w:tcPr>
          <w:p>
            <w:pPr>
              <w:widowControl/>
              <w:spacing w:line="300" w:lineRule="exact"/>
              <w:jc w:val="left"/>
              <w:rPr>
                <w:rFonts w:ascii="Times New Roman" w:hAnsi="Times New Roman" w:eastAsia="仿宋"/>
                <w:kern w:val="0"/>
                <w:sz w:val="24"/>
                <w:szCs w:val="24"/>
              </w:rPr>
            </w:pPr>
            <w:r>
              <w:rPr>
                <w:rFonts w:hint="eastAsia" w:ascii="Times New Roman" w:hAnsi="Times New Roman" w:eastAsia="仿宋"/>
                <w:kern w:val="0"/>
                <w:sz w:val="24"/>
                <w:szCs w:val="24"/>
              </w:rPr>
              <w:t>做市商未按时向中国结算提交股票划转申请或股份划转信息选择错误。</w:t>
            </w:r>
          </w:p>
        </w:tc>
        <w:tc>
          <w:tcPr>
            <w:tcW w:w="1701" w:type="dxa"/>
            <w:vAlign w:val="center"/>
          </w:tcPr>
          <w:p>
            <w:pPr>
              <w:widowControl/>
              <w:spacing w:line="300" w:lineRule="exact"/>
              <w:jc w:val="center"/>
              <w:rPr>
                <w:rFonts w:ascii="Times New Roman" w:hAnsi="Times New Roman" w:eastAsia="仿宋"/>
                <w:kern w:val="0"/>
                <w:sz w:val="24"/>
                <w:szCs w:val="24"/>
                <w:lang w:val="en"/>
              </w:rPr>
            </w:pPr>
            <w:r>
              <w:rPr>
                <w:rFonts w:ascii="Times New Roman" w:hAnsi="Times New Roman" w:eastAsia="仿宋"/>
                <w:kern w:val="0"/>
                <w:sz w:val="24"/>
                <w:szCs w:val="24"/>
                <w:lang w:val="e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25</w:t>
            </w:r>
          </w:p>
        </w:tc>
        <w:tc>
          <w:tcPr>
            <w:tcW w:w="851" w:type="dxa"/>
            <w:vMerge w:val="continue"/>
            <w:shd w:val="clear" w:color="auto" w:fill="auto"/>
            <w:vAlign w:val="center"/>
          </w:tcPr>
          <w:p>
            <w:pPr>
              <w:widowControl/>
              <w:spacing w:line="300" w:lineRule="exact"/>
              <w:jc w:val="center"/>
              <w:rPr>
                <w:rFonts w:ascii="Times New Roman" w:hAnsi="Times New Roman" w:eastAsia="仿宋"/>
                <w:kern w:val="0"/>
                <w:sz w:val="24"/>
                <w:szCs w:val="24"/>
              </w:rPr>
            </w:pPr>
          </w:p>
        </w:tc>
        <w:tc>
          <w:tcPr>
            <w:tcW w:w="1701" w:type="dxa"/>
            <w:shd w:val="clear" w:color="auto" w:fill="auto"/>
            <w:vAlign w:val="center"/>
          </w:tcPr>
          <w:p>
            <w:pPr>
              <w:widowControl/>
              <w:spacing w:line="300" w:lineRule="exact"/>
              <w:jc w:val="center"/>
              <w:rPr>
                <w:rFonts w:ascii="Times New Roman" w:hAnsi="Times New Roman" w:eastAsia="仿宋"/>
                <w:kern w:val="0"/>
                <w:sz w:val="24"/>
                <w:szCs w:val="24"/>
              </w:rPr>
            </w:pPr>
            <w:r>
              <w:rPr>
                <w:rFonts w:hint="eastAsia" w:ascii="Times New Roman" w:hAnsi="Times New Roman" w:eastAsia="仿宋"/>
                <w:kern w:val="0"/>
                <w:sz w:val="24"/>
                <w:szCs w:val="24"/>
              </w:rPr>
              <w:t>其它</w:t>
            </w:r>
          </w:p>
        </w:tc>
        <w:tc>
          <w:tcPr>
            <w:tcW w:w="4929" w:type="dxa"/>
            <w:shd w:val="clear" w:color="auto" w:fill="auto"/>
            <w:vAlign w:val="center"/>
          </w:tcPr>
          <w:p>
            <w:pPr>
              <w:widowControl/>
              <w:spacing w:line="300" w:lineRule="exact"/>
              <w:jc w:val="left"/>
              <w:rPr>
                <w:rFonts w:ascii="Times New Roman" w:hAnsi="Times New Roman" w:eastAsia="仿宋"/>
                <w:kern w:val="0"/>
                <w:sz w:val="24"/>
                <w:szCs w:val="24"/>
              </w:rPr>
            </w:pPr>
            <w:r>
              <w:rPr>
                <w:rFonts w:hint="eastAsia" w:ascii="Times New Roman" w:hAnsi="Times New Roman" w:eastAsia="仿宋"/>
                <w:kern w:val="0"/>
                <w:sz w:val="24"/>
                <w:szCs w:val="24"/>
              </w:rPr>
              <w:t>其他发现的负面监管事项。</w:t>
            </w:r>
          </w:p>
        </w:tc>
        <w:tc>
          <w:tcPr>
            <w:tcW w:w="1701" w:type="dxa"/>
            <w:vAlign w:val="center"/>
          </w:tcPr>
          <w:p>
            <w:pPr>
              <w:widowControl/>
              <w:spacing w:line="300" w:lineRule="exact"/>
              <w:jc w:val="center"/>
              <w:rPr>
                <w:rFonts w:ascii="Times New Roman" w:hAnsi="Times New Roman" w:eastAsia="仿宋"/>
                <w:kern w:val="0"/>
                <w:sz w:val="24"/>
                <w:szCs w:val="24"/>
                <w:lang w:val="en"/>
              </w:rPr>
            </w:pPr>
            <w:r>
              <w:rPr>
                <w:rFonts w:ascii="Times New Roman" w:hAnsi="Times New Roman" w:eastAsia="仿宋"/>
                <w:kern w:val="0"/>
                <w:sz w:val="24"/>
                <w:szCs w:val="24"/>
                <w:lang w:val="en"/>
              </w:rPr>
              <w:t>0.5~1.5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9639" w:type="dxa"/>
            <w:gridSpan w:val="5"/>
            <w:shd w:val="clear" w:color="auto" w:fill="D0CECE" w:themeFill="background2" w:themeFillShade="E6"/>
            <w:noWrap/>
            <w:vAlign w:val="center"/>
          </w:tcPr>
          <w:p>
            <w:pPr>
              <w:widowControl/>
              <w:spacing w:line="300" w:lineRule="exact"/>
              <w:jc w:val="center"/>
              <w:rPr>
                <w:rFonts w:ascii="Times New Roman" w:hAnsi="Times New Roman" w:eastAsia="仿宋"/>
                <w:b/>
                <w:kern w:val="0"/>
                <w:sz w:val="24"/>
                <w:szCs w:val="24"/>
              </w:rPr>
            </w:pPr>
            <w:r>
              <w:rPr>
                <w:rFonts w:hint="eastAsia" w:ascii="Times New Roman" w:hAnsi="Times New Roman" w:eastAsia="仿宋"/>
                <w:b/>
                <w:kern w:val="0"/>
                <w:sz w:val="24"/>
                <w:szCs w:val="24"/>
              </w:rPr>
              <w:t>二</w:t>
            </w:r>
            <w:r>
              <w:rPr>
                <w:rFonts w:ascii="Times New Roman" w:hAnsi="Times New Roman" w:eastAsia="仿宋"/>
                <w:b/>
                <w:kern w:val="0"/>
                <w:sz w:val="24"/>
                <w:szCs w:val="24"/>
              </w:rPr>
              <w:t>、全国中小企业股份转让系统</w:t>
            </w:r>
            <w:r>
              <w:rPr>
                <w:rFonts w:hint="eastAsia" w:ascii="Times New Roman" w:hAnsi="Times New Roman" w:eastAsia="仿宋"/>
                <w:b/>
                <w:kern w:val="0"/>
                <w:sz w:val="24"/>
                <w:szCs w:val="24"/>
              </w:rPr>
              <w:t>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26</w:t>
            </w:r>
          </w:p>
        </w:tc>
        <w:tc>
          <w:tcPr>
            <w:tcW w:w="851" w:type="dxa"/>
            <w:vMerge w:val="restart"/>
            <w:shd w:val="clear" w:color="auto" w:fill="auto"/>
            <w:vAlign w:val="center"/>
          </w:tcPr>
          <w:p>
            <w:pPr>
              <w:widowControl/>
              <w:spacing w:line="300" w:lineRule="exact"/>
              <w:jc w:val="center"/>
              <w:rPr>
                <w:rFonts w:ascii="Times New Roman" w:hAnsi="Times New Roman" w:eastAsia="仿宋"/>
                <w:kern w:val="0"/>
                <w:sz w:val="24"/>
                <w:szCs w:val="24"/>
              </w:rPr>
            </w:pPr>
            <w:r>
              <w:rPr>
                <w:rFonts w:hint="eastAsia" w:ascii="Times New Roman" w:hAnsi="Times New Roman" w:eastAsia="仿宋"/>
                <w:kern w:val="0"/>
                <w:sz w:val="24"/>
                <w:szCs w:val="24"/>
              </w:rPr>
              <w:t>推荐挂牌业务</w:t>
            </w:r>
            <w:r>
              <w:rPr>
                <w:rFonts w:ascii="Times New Roman" w:hAnsi="Times New Roman" w:eastAsia="仿宋"/>
                <w:kern w:val="0"/>
                <w:sz w:val="24"/>
                <w:szCs w:val="24"/>
              </w:rPr>
              <w:t>负面行为</w:t>
            </w:r>
          </w:p>
        </w:tc>
        <w:tc>
          <w:tcPr>
            <w:tcW w:w="1701" w:type="dxa"/>
            <w:shd w:val="clear" w:color="auto" w:fill="auto"/>
            <w:vAlign w:val="center"/>
          </w:tcPr>
          <w:p>
            <w:pPr>
              <w:widowControl/>
              <w:spacing w:line="300" w:lineRule="exact"/>
              <w:jc w:val="center"/>
              <w:rPr>
                <w:rFonts w:ascii="Times New Roman" w:hAnsi="Times New Roman" w:eastAsia="仿宋"/>
                <w:kern w:val="0"/>
                <w:sz w:val="24"/>
                <w:szCs w:val="24"/>
              </w:rPr>
            </w:pPr>
            <w:r>
              <w:rPr>
                <w:rFonts w:ascii="Times New Roman" w:hAnsi="Times New Roman" w:eastAsia="仿宋"/>
                <w:kern w:val="0"/>
                <w:sz w:val="24"/>
                <w:szCs w:val="24"/>
              </w:rPr>
              <w:t>受理材料</w:t>
            </w:r>
          </w:p>
        </w:tc>
        <w:tc>
          <w:tcPr>
            <w:tcW w:w="4929" w:type="dxa"/>
            <w:shd w:val="clear" w:color="auto" w:fill="auto"/>
            <w:vAlign w:val="center"/>
          </w:tcPr>
          <w:p>
            <w:pPr>
              <w:widowControl/>
              <w:spacing w:line="300" w:lineRule="exact"/>
              <w:jc w:val="left"/>
              <w:rPr>
                <w:rFonts w:ascii="Times New Roman" w:hAnsi="Times New Roman" w:eastAsia="仿宋"/>
                <w:kern w:val="0"/>
                <w:sz w:val="24"/>
                <w:szCs w:val="24"/>
              </w:rPr>
            </w:pPr>
            <w:r>
              <w:rPr>
                <w:rFonts w:hint="eastAsia" w:ascii="Times New Roman" w:hAnsi="Times New Roman" w:eastAsia="仿宋"/>
                <w:kern w:val="0"/>
                <w:sz w:val="24"/>
                <w:szCs w:val="24"/>
              </w:rPr>
              <w:t>通过BPM报送同一家申请挂牌材料被全国股转公司受理员驳回两次及以上。</w:t>
            </w:r>
          </w:p>
        </w:tc>
        <w:tc>
          <w:tcPr>
            <w:tcW w:w="1701" w:type="dxa"/>
            <w:vAlign w:val="center"/>
          </w:tcPr>
          <w:p>
            <w:pPr>
              <w:widowControl/>
              <w:spacing w:line="300" w:lineRule="exact"/>
              <w:jc w:val="center"/>
              <w:rPr>
                <w:rFonts w:ascii="Times New Roman" w:hAnsi="Times New Roman" w:eastAsia="仿宋"/>
                <w:kern w:val="0"/>
                <w:sz w:val="24"/>
                <w:szCs w:val="24"/>
              </w:rPr>
            </w:pPr>
            <w:r>
              <w:rPr>
                <w:rFonts w:ascii="Times New Roman" w:hAnsi="Times New Roman" w:eastAsia="仿宋"/>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27</w:t>
            </w:r>
          </w:p>
        </w:tc>
        <w:tc>
          <w:tcPr>
            <w:tcW w:w="851" w:type="dxa"/>
            <w:vMerge w:val="continue"/>
            <w:shd w:val="clear" w:color="auto" w:fill="auto"/>
            <w:vAlign w:val="center"/>
          </w:tcPr>
          <w:p>
            <w:pPr>
              <w:widowControl/>
              <w:spacing w:line="300" w:lineRule="exact"/>
              <w:jc w:val="center"/>
              <w:rPr>
                <w:rFonts w:ascii="Times New Roman" w:hAnsi="Times New Roman" w:eastAsia="仿宋"/>
                <w:kern w:val="0"/>
                <w:sz w:val="24"/>
                <w:szCs w:val="24"/>
              </w:rPr>
            </w:pPr>
          </w:p>
        </w:tc>
        <w:tc>
          <w:tcPr>
            <w:tcW w:w="1701" w:type="dxa"/>
            <w:vMerge w:val="restart"/>
            <w:shd w:val="clear" w:color="auto" w:fill="auto"/>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信息披露</w:t>
            </w:r>
          </w:p>
        </w:tc>
        <w:tc>
          <w:tcPr>
            <w:tcW w:w="4929" w:type="dxa"/>
            <w:shd w:val="clear" w:color="auto" w:fill="auto"/>
            <w:vAlign w:val="center"/>
          </w:tcPr>
          <w:p>
            <w:pPr>
              <w:widowControl/>
              <w:spacing w:line="300" w:lineRule="exact"/>
              <w:jc w:val="left"/>
              <w:rPr>
                <w:rFonts w:ascii="Times New Roman" w:hAnsi="Times New Roman" w:eastAsia="仿宋"/>
                <w:kern w:val="0"/>
                <w:sz w:val="24"/>
                <w:szCs w:val="24"/>
              </w:rPr>
            </w:pPr>
            <w:r>
              <w:rPr>
                <w:rFonts w:ascii="Times New Roman" w:hAnsi="Times New Roman" w:eastAsia="仿宋"/>
                <w:bCs/>
                <w:kern w:val="0"/>
                <w:sz w:val="24"/>
                <w:szCs w:val="24"/>
              </w:rPr>
              <w:t>信息披露文件未按规则履行相应信息披露要求。</w:t>
            </w:r>
          </w:p>
        </w:tc>
        <w:tc>
          <w:tcPr>
            <w:tcW w:w="1701" w:type="dxa"/>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28</w:t>
            </w:r>
          </w:p>
        </w:tc>
        <w:tc>
          <w:tcPr>
            <w:tcW w:w="851" w:type="dxa"/>
            <w:vMerge w:val="continue"/>
            <w:shd w:val="clear" w:color="auto" w:fill="auto"/>
            <w:vAlign w:val="center"/>
          </w:tcPr>
          <w:p>
            <w:pPr>
              <w:widowControl/>
              <w:spacing w:line="300" w:lineRule="exact"/>
              <w:jc w:val="center"/>
              <w:rPr>
                <w:rFonts w:ascii="Times New Roman" w:hAnsi="Times New Roman" w:eastAsia="仿宋"/>
                <w:kern w:val="0"/>
                <w:sz w:val="24"/>
                <w:szCs w:val="24"/>
              </w:rPr>
            </w:pPr>
          </w:p>
        </w:tc>
        <w:tc>
          <w:tcPr>
            <w:tcW w:w="1701" w:type="dxa"/>
            <w:vMerge w:val="continue"/>
            <w:shd w:val="clear" w:color="auto" w:fill="auto"/>
            <w:vAlign w:val="center"/>
          </w:tcPr>
          <w:p>
            <w:pPr>
              <w:widowControl/>
              <w:spacing w:line="300" w:lineRule="exact"/>
              <w:jc w:val="center"/>
              <w:rPr>
                <w:rFonts w:ascii="Times New Roman" w:hAnsi="Times New Roman" w:eastAsia="仿宋"/>
                <w:bCs/>
                <w:kern w:val="0"/>
                <w:sz w:val="24"/>
                <w:szCs w:val="24"/>
              </w:rPr>
            </w:pPr>
          </w:p>
        </w:tc>
        <w:tc>
          <w:tcPr>
            <w:tcW w:w="4929" w:type="dxa"/>
            <w:shd w:val="clear" w:color="auto" w:fill="auto"/>
            <w:vAlign w:val="center"/>
          </w:tcPr>
          <w:p>
            <w:pPr>
              <w:widowControl/>
              <w:spacing w:line="300" w:lineRule="exact"/>
              <w:jc w:val="left"/>
              <w:rPr>
                <w:rFonts w:ascii="Times New Roman" w:hAnsi="Times New Roman" w:eastAsia="仿宋"/>
                <w:bCs/>
                <w:kern w:val="0"/>
                <w:sz w:val="24"/>
                <w:szCs w:val="24"/>
              </w:rPr>
            </w:pPr>
            <w:r>
              <w:rPr>
                <w:rFonts w:hint="eastAsia" w:ascii="Times New Roman" w:hAnsi="Times New Roman" w:eastAsia="仿宋"/>
                <w:bCs/>
                <w:kern w:val="0"/>
                <w:sz w:val="24"/>
                <w:szCs w:val="24"/>
              </w:rPr>
              <w:t>信息披露文件存在内容错误。</w:t>
            </w:r>
          </w:p>
        </w:tc>
        <w:tc>
          <w:tcPr>
            <w:tcW w:w="1701" w:type="dxa"/>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29</w:t>
            </w:r>
          </w:p>
        </w:tc>
        <w:tc>
          <w:tcPr>
            <w:tcW w:w="851" w:type="dxa"/>
            <w:vMerge w:val="continue"/>
            <w:shd w:val="clear" w:color="auto" w:fill="auto"/>
            <w:vAlign w:val="center"/>
          </w:tcPr>
          <w:p>
            <w:pPr>
              <w:widowControl/>
              <w:spacing w:line="300" w:lineRule="exact"/>
              <w:jc w:val="center"/>
              <w:rPr>
                <w:rFonts w:ascii="Times New Roman" w:hAnsi="Times New Roman" w:eastAsia="仿宋"/>
                <w:kern w:val="0"/>
                <w:sz w:val="24"/>
                <w:szCs w:val="24"/>
              </w:rPr>
            </w:pPr>
          </w:p>
        </w:tc>
        <w:tc>
          <w:tcPr>
            <w:tcW w:w="1701" w:type="dxa"/>
            <w:shd w:val="clear" w:color="auto" w:fill="auto"/>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核查</w:t>
            </w:r>
          </w:p>
        </w:tc>
        <w:tc>
          <w:tcPr>
            <w:tcW w:w="4929" w:type="dxa"/>
            <w:shd w:val="clear" w:color="auto" w:fill="auto"/>
            <w:vAlign w:val="center"/>
          </w:tcPr>
          <w:p>
            <w:pPr>
              <w:widowControl/>
              <w:spacing w:line="300" w:lineRule="exact"/>
              <w:jc w:val="left"/>
              <w:rPr>
                <w:rFonts w:ascii="Times New Roman" w:hAnsi="Times New Roman" w:eastAsia="仿宋"/>
                <w:bCs/>
                <w:kern w:val="0"/>
                <w:sz w:val="24"/>
                <w:szCs w:val="24"/>
              </w:rPr>
            </w:pPr>
            <w:r>
              <w:rPr>
                <w:rFonts w:hint="eastAsia" w:ascii="Times New Roman" w:hAnsi="Times New Roman" w:eastAsia="仿宋"/>
                <w:bCs/>
                <w:kern w:val="0"/>
                <w:sz w:val="24"/>
                <w:szCs w:val="24"/>
              </w:rPr>
              <w:t>中介机构核查方式、范围、过程等不符合要求，或针对同一问题经过多轮回复仍未核查清楚。</w:t>
            </w:r>
          </w:p>
        </w:tc>
        <w:tc>
          <w:tcPr>
            <w:tcW w:w="1701" w:type="dxa"/>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30</w:t>
            </w:r>
          </w:p>
        </w:tc>
        <w:tc>
          <w:tcPr>
            <w:tcW w:w="851" w:type="dxa"/>
            <w:vMerge w:val="continue"/>
            <w:shd w:val="clear" w:color="auto" w:fill="auto"/>
            <w:vAlign w:val="center"/>
          </w:tcPr>
          <w:p>
            <w:pPr>
              <w:widowControl/>
              <w:spacing w:line="300" w:lineRule="exact"/>
              <w:jc w:val="center"/>
              <w:rPr>
                <w:rFonts w:ascii="Times New Roman" w:hAnsi="Times New Roman" w:eastAsia="仿宋"/>
                <w:kern w:val="0"/>
                <w:sz w:val="24"/>
                <w:szCs w:val="24"/>
              </w:rPr>
            </w:pPr>
          </w:p>
        </w:tc>
        <w:tc>
          <w:tcPr>
            <w:tcW w:w="1701" w:type="dxa"/>
            <w:vMerge w:val="restart"/>
            <w:shd w:val="clear" w:color="auto" w:fill="auto"/>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回复</w:t>
            </w:r>
          </w:p>
        </w:tc>
        <w:tc>
          <w:tcPr>
            <w:tcW w:w="4929" w:type="dxa"/>
            <w:shd w:val="clear" w:color="auto" w:fill="auto"/>
            <w:vAlign w:val="center"/>
          </w:tcPr>
          <w:p>
            <w:pPr>
              <w:widowControl/>
              <w:spacing w:line="300" w:lineRule="exact"/>
              <w:jc w:val="left"/>
              <w:rPr>
                <w:rFonts w:ascii="Times New Roman" w:hAnsi="Times New Roman" w:eastAsia="仿宋"/>
                <w:kern w:val="0"/>
                <w:sz w:val="24"/>
                <w:szCs w:val="24"/>
              </w:rPr>
            </w:pPr>
            <w:r>
              <w:rPr>
                <w:rFonts w:ascii="Times New Roman" w:hAnsi="Times New Roman" w:eastAsia="仿宋"/>
                <w:bCs/>
                <w:kern w:val="0"/>
                <w:sz w:val="24"/>
                <w:szCs w:val="24"/>
              </w:rPr>
              <w:t>中介机构意见前后矛盾，或者中介机构间意见不一致。</w:t>
            </w:r>
          </w:p>
        </w:tc>
        <w:tc>
          <w:tcPr>
            <w:tcW w:w="1701" w:type="dxa"/>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31</w:t>
            </w:r>
          </w:p>
        </w:tc>
        <w:tc>
          <w:tcPr>
            <w:tcW w:w="851" w:type="dxa"/>
            <w:vMerge w:val="continue"/>
            <w:shd w:val="clear" w:color="auto" w:fill="auto"/>
            <w:vAlign w:val="center"/>
          </w:tcPr>
          <w:p>
            <w:pPr>
              <w:widowControl/>
              <w:spacing w:line="300" w:lineRule="exact"/>
              <w:jc w:val="center"/>
              <w:rPr>
                <w:rFonts w:ascii="Times New Roman" w:hAnsi="Times New Roman" w:eastAsia="仿宋"/>
                <w:kern w:val="0"/>
                <w:sz w:val="24"/>
                <w:szCs w:val="24"/>
              </w:rPr>
            </w:pPr>
          </w:p>
        </w:tc>
        <w:tc>
          <w:tcPr>
            <w:tcW w:w="1701" w:type="dxa"/>
            <w:vMerge w:val="continue"/>
            <w:vAlign w:val="center"/>
          </w:tcPr>
          <w:p>
            <w:pPr>
              <w:widowControl/>
              <w:spacing w:line="300" w:lineRule="exact"/>
              <w:jc w:val="center"/>
              <w:rPr>
                <w:rFonts w:ascii="Times New Roman" w:hAnsi="Times New Roman" w:eastAsia="仿宋"/>
                <w:bCs/>
                <w:kern w:val="0"/>
                <w:sz w:val="24"/>
                <w:szCs w:val="24"/>
              </w:rPr>
            </w:pPr>
          </w:p>
        </w:tc>
        <w:tc>
          <w:tcPr>
            <w:tcW w:w="4929" w:type="dxa"/>
            <w:shd w:val="clear" w:color="auto" w:fill="auto"/>
            <w:vAlign w:val="center"/>
          </w:tcPr>
          <w:p>
            <w:pPr>
              <w:widowControl/>
              <w:spacing w:line="300" w:lineRule="exact"/>
              <w:jc w:val="left"/>
              <w:rPr>
                <w:rFonts w:ascii="Times New Roman" w:hAnsi="Times New Roman" w:eastAsia="仿宋"/>
                <w:kern w:val="0"/>
                <w:sz w:val="24"/>
                <w:szCs w:val="24"/>
              </w:rPr>
            </w:pPr>
            <w:r>
              <w:rPr>
                <w:rFonts w:hint="eastAsia" w:ascii="Times New Roman" w:hAnsi="Times New Roman" w:eastAsia="仿宋"/>
                <w:kern w:val="0"/>
                <w:sz w:val="24"/>
                <w:szCs w:val="24"/>
              </w:rPr>
              <w:t>未按照问询、反馈意见要求回复，出现漏答、不按要求回答等情形。</w:t>
            </w:r>
          </w:p>
        </w:tc>
        <w:tc>
          <w:tcPr>
            <w:tcW w:w="1701" w:type="dxa"/>
            <w:vAlign w:val="center"/>
          </w:tcPr>
          <w:p>
            <w:pPr>
              <w:widowControl/>
              <w:spacing w:line="300" w:lineRule="exact"/>
              <w:jc w:val="center"/>
              <w:rPr>
                <w:rFonts w:ascii="Times New Roman" w:hAnsi="Times New Roman" w:eastAsia="仿宋"/>
                <w:kern w:val="0"/>
                <w:sz w:val="24"/>
                <w:szCs w:val="24"/>
              </w:rPr>
            </w:pPr>
            <w:r>
              <w:rPr>
                <w:rFonts w:hint="eastAsia" w:ascii="Times New Roman" w:hAnsi="Times New Roman" w:eastAsia="仿宋"/>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32</w:t>
            </w:r>
          </w:p>
        </w:tc>
        <w:tc>
          <w:tcPr>
            <w:tcW w:w="851" w:type="dxa"/>
            <w:vMerge w:val="continue"/>
            <w:shd w:val="clear" w:color="auto" w:fill="auto"/>
            <w:vAlign w:val="center"/>
          </w:tcPr>
          <w:p>
            <w:pPr>
              <w:widowControl/>
              <w:spacing w:line="300" w:lineRule="exact"/>
              <w:jc w:val="center"/>
              <w:rPr>
                <w:rFonts w:ascii="Times New Roman" w:hAnsi="Times New Roman" w:eastAsia="仿宋"/>
                <w:kern w:val="0"/>
                <w:sz w:val="24"/>
                <w:szCs w:val="24"/>
              </w:rPr>
            </w:pPr>
          </w:p>
        </w:tc>
        <w:tc>
          <w:tcPr>
            <w:tcW w:w="1701" w:type="dxa"/>
            <w:vAlign w:val="center"/>
          </w:tcPr>
          <w:p>
            <w:pPr>
              <w:widowControl/>
              <w:spacing w:line="300" w:lineRule="exact"/>
              <w:jc w:val="center"/>
              <w:rPr>
                <w:rFonts w:ascii="Times New Roman" w:hAnsi="Times New Roman" w:eastAsia="仿宋"/>
                <w:kern w:val="0"/>
                <w:sz w:val="24"/>
                <w:szCs w:val="24"/>
              </w:rPr>
            </w:pPr>
            <w:r>
              <w:rPr>
                <w:rFonts w:hint="eastAsia" w:ascii="Times New Roman" w:hAnsi="Times New Roman" w:eastAsia="仿宋"/>
                <w:kern w:val="0"/>
                <w:sz w:val="24"/>
                <w:szCs w:val="24"/>
              </w:rPr>
              <w:t>首次信息披露</w:t>
            </w:r>
          </w:p>
        </w:tc>
        <w:tc>
          <w:tcPr>
            <w:tcW w:w="4929" w:type="dxa"/>
            <w:shd w:val="clear" w:color="auto" w:fill="auto"/>
            <w:vAlign w:val="center"/>
          </w:tcPr>
          <w:p>
            <w:pPr>
              <w:widowControl/>
              <w:spacing w:line="300" w:lineRule="exact"/>
              <w:jc w:val="left"/>
              <w:rPr>
                <w:rFonts w:ascii="Times New Roman" w:hAnsi="Times New Roman" w:eastAsia="仿宋"/>
                <w:kern w:val="0"/>
                <w:sz w:val="24"/>
                <w:szCs w:val="24"/>
              </w:rPr>
            </w:pPr>
            <w:r>
              <w:rPr>
                <w:rFonts w:hint="eastAsia" w:ascii="Times New Roman" w:hAnsi="Times New Roman" w:eastAsia="仿宋"/>
                <w:kern w:val="0"/>
                <w:sz w:val="24"/>
                <w:szCs w:val="24"/>
              </w:rPr>
              <w:t>未在规定时间内办理完</w:t>
            </w:r>
            <w:r>
              <w:rPr>
                <w:rFonts w:ascii="Times New Roman" w:hAnsi="Times New Roman" w:eastAsia="仿宋"/>
                <w:kern w:val="0"/>
                <w:sz w:val="24"/>
                <w:szCs w:val="24"/>
              </w:rPr>
              <w:t>首次信息披露。</w:t>
            </w:r>
          </w:p>
        </w:tc>
        <w:tc>
          <w:tcPr>
            <w:tcW w:w="1701" w:type="dxa"/>
            <w:vAlign w:val="center"/>
          </w:tcPr>
          <w:p>
            <w:pPr>
              <w:widowControl/>
              <w:spacing w:line="300" w:lineRule="exact"/>
              <w:jc w:val="center"/>
              <w:rPr>
                <w:rFonts w:ascii="Times New Roman" w:hAnsi="Times New Roman" w:eastAsia="仿宋"/>
                <w:kern w:val="0"/>
                <w:sz w:val="24"/>
                <w:szCs w:val="24"/>
              </w:rPr>
            </w:pPr>
            <w:r>
              <w:rPr>
                <w:rFonts w:ascii="Times New Roman" w:hAnsi="Times New Roman" w:eastAsia="仿宋"/>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33</w:t>
            </w:r>
          </w:p>
        </w:tc>
        <w:tc>
          <w:tcPr>
            <w:tcW w:w="851" w:type="dxa"/>
            <w:vMerge w:val="continue"/>
            <w:shd w:val="clear" w:color="auto" w:fill="auto"/>
            <w:vAlign w:val="center"/>
          </w:tcPr>
          <w:p>
            <w:pPr>
              <w:widowControl/>
              <w:spacing w:line="300" w:lineRule="exact"/>
              <w:jc w:val="center"/>
              <w:rPr>
                <w:rFonts w:ascii="Times New Roman" w:hAnsi="Times New Roman" w:eastAsia="仿宋"/>
                <w:kern w:val="0"/>
                <w:sz w:val="24"/>
                <w:szCs w:val="24"/>
              </w:rPr>
            </w:pPr>
          </w:p>
        </w:tc>
        <w:tc>
          <w:tcPr>
            <w:tcW w:w="1701" w:type="dxa"/>
            <w:shd w:val="clear" w:color="auto" w:fill="auto"/>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程序和形式</w:t>
            </w:r>
          </w:p>
        </w:tc>
        <w:tc>
          <w:tcPr>
            <w:tcW w:w="4929" w:type="dxa"/>
            <w:shd w:val="clear" w:color="auto" w:fill="auto"/>
            <w:vAlign w:val="center"/>
          </w:tcPr>
          <w:p>
            <w:pPr>
              <w:widowControl/>
              <w:spacing w:line="300" w:lineRule="exact"/>
              <w:jc w:val="left"/>
              <w:rPr>
                <w:rFonts w:ascii="Times New Roman" w:hAnsi="Times New Roman" w:eastAsia="仿宋"/>
                <w:bCs/>
                <w:kern w:val="0"/>
                <w:sz w:val="24"/>
                <w:szCs w:val="24"/>
              </w:rPr>
            </w:pPr>
            <w:r>
              <w:rPr>
                <w:rFonts w:hint="eastAsia" w:ascii="Times New Roman" w:hAnsi="Times New Roman" w:eastAsia="仿宋"/>
                <w:bCs/>
                <w:kern w:val="0"/>
                <w:sz w:val="24"/>
                <w:szCs w:val="24"/>
              </w:rPr>
              <w:t>文件报送过程中上传错误</w:t>
            </w:r>
            <w:r>
              <w:rPr>
                <w:rFonts w:ascii="Times New Roman" w:hAnsi="Times New Roman" w:eastAsia="仿宋"/>
                <w:bCs/>
                <w:kern w:val="0"/>
                <w:sz w:val="24"/>
                <w:szCs w:val="24"/>
              </w:rPr>
              <w:t>文件或遗漏文件。</w:t>
            </w:r>
          </w:p>
        </w:tc>
        <w:tc>
          <w:tcPr>
            <w:tcW w:w="1701" w:type="dxa"/>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34</w:t>
            </w:r>
          </w:p>
        </w:tc>
        <w:tc>
          <w:tcPr>
            <w:tcW w:w="851" w:type="dxa"/>
            <w:vMerge w:val="continue"/>
            <w:shd w:val="clear" w:color="auto" w:fill="auto"/>
            <w:vAlign w:val="center"/>
          </w:tcPr>
          <w:p>
            <w:pPr>
              <w:widowControl/>
              <w:spacing w:line="300" w:lineRule="exact"/>
              <w:jc w:val="center"/>
              <w:rPr>
                <w:rFonts w:ascii="Times New Roman" w:hAnsi="Times New Roman" w:eastAsia="仿宋"/>
                <w:kern w:val="0"/>
                <w:sz w:val="24"/>
                <w:szCs w:val="24"/>
              </w:rPr>
            </w:pPr>
          </w:p>
        </w:tc>
        <w:tc>
          <w:tcPr>
            <w:tcW w:w="1701" w:type="dxa"/>
            <w:shd w:val="clear" w:color="auto" w:fill="auto"/>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其他</w:t>
            </w:r>
          </w:p>
        </w:tc>
        <w:tc>
          <w:tcPr>
            <w:tcW w:w="4929" w:type="dxa"/>
            <w:shd w:val="clear" w:color="auto" w:fill="auto"/>
            <w:vAlign w:val="center"/>
          </w:tcPr>
          <w:p>
            <w:pPr>
              <w:widowControl/>
              <w:spacing w:line="300" w:lineRule="exact"/>
              <w:jc w:val="left"/>
              <w:rPr>
                <w:rFonts w:ascii="Times New Roman" w:hAnsi="Times New Roman" w:eastAsia="仿宋"/>
                <w:kern w:val="0"/>
                <w:sz w:val="24"/>
                <w:szCs w:val="24"/>
              </w:rPr>
            </w:pPr>
            <w:r>
              <w:rPr>
                <w:rFonts w:ascii="Times New Roman" w:hAnsi="Times New Roman" w:eastAsia="仿宋"/>
                <w:kern w:val="0"/>
                <w:sz w:val="24"/>
                <w:szCs w:val="24"/>
              </w:rPr>
              <w:t>其他发现的负面监管事项。</w:t>
            </w:r>
          </w:p>
        </w:tc>
        <w:tc>
          <w:tcPr>
            <w:tcW w:w="1701" w:type="dxa"/>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35</w:t>
            </w:r>
          </w:p>
        </w:tc>
        <w:tc>
          <w:tcPr>
            <w:tcW w:w="851" w:type="dxa"/>
            <w:vMerge w:val="restart"/>
            <w:shd w:val="clear" w:color="auto" w:fill="auto"/>
            <w:vAlign w:val="center"/>
          </w:tcPr>
          <w:p>
            <w:pPr>
              <w:widowControl/>
              <w:spacing w:line="300" w:lineRule="exact"/>
              <w:jc w:val="center"/>
              <w:rPr>
                <w:rFonts w:ascii="Times New Roman" w:hAnsi="Times New Roman" w:eastAsia="仿宋"/>
                <w:kern w:val="0"/>
                <w:sz w:val="24"/>
                <w:szCs w:val="24"/>
              </w:rPr>
            </w:pPr>
          </w:p>
          <w:p>
            <w:pPr>
              <w:widowControl/>
              <w:spacing w:line="300" w:lineRule="exact"/>
              <w:jc w:val="center"/>
              <w:rPr>
                <w:rFonts w:ascii="Times New Roman" w:hAnsi="Times New Roman" w:eastAsia="仿宋"/>
                <w:kern w:val="0"/>
                <w:sz w:val="24"/>
                <w:szCs w:val="24"/>
              </w:rPr>
            </w:pPr>
          </w:p>
          <w:p>
            <w:pPr>
              <w:widowControl/>
              <w:spacing w:line="300" w:lineRule="exact"/>
              <w:jc w:val="center"/>
              <w:rPr>
                <w:rFonts w:ascii="Times New Roman" w:hAnsi="Times New Roman" w:eastAsia="仿宋"/>
                <w:kern w:val="0"/>
                <w:sz w:val="24"/>
                <w:szCs w:val="24"/>
              </w:rPr>
            </w:pPr>
          </w:p>
          <w:p>
            <w:pPr>
              <w:widowControl/>
              <w:spacing w:line="300" w:lineRule="exact"/>
              <w:jc w:val="center"/>
              <w:rPr>
                <w:rFonts w:ascii="Times New Roman" w:hAnsi="Times New Roman" w:eastAsia="仿宋"/>
                <w:kern w:val="0"/>
                <w:sz w:val="24"/>
                <w:szCs w:val="24"/>
              </w:rPr>
            </w:pPr>
          </w:p>
          <w:p>
            <w:pPr>
              <w:widowControl/>
              <w:spacing w:line="300" w:lineRule="exact"/>
              <w:jc w:val="center"/>
              <w:rPr>
                <w:rFonts w:ascii="Times New Roman" w:hAnsi="Times New Roman" w:eastAsia="仿宋"/>
                <w:kern w:val="0"/>
                <w:sz w:val="24"/>
                <w:szCs w:val="24"/>
              </w:rPr>
            </w:pPr>
          </w:p>
          <w:p>
            <w:pPr>
              <w:widowControl/>
              <w:spacing w:line="300" w:lineRule="exact"/>
              <w:jc w:val="center"/>
              <w:rPr>
                <w:rFonts w:ascii="Times New Roman" w:hAnsi="Times New Roman" w:eastAsia="仿宋"/>
                <w:kern w:val="0"/>
                <w:sz w:val="24"/>
                <w:szCs w:val="24"/>
              </w:rPr>
            </w:pPr>
          </w:p>
          <w:p>
            <w:pPr>
              <w:widowControl/>
              <w:spacing w:line="300" w:lineRule="exact"/>
              <w:jc w:val="center"/>
              <w:rPr>
                <w:rFonts w:ascii="Times New Roman" w:hAnsi="Times New Roman" w:eastAsia="仿宋"/>
                <w:kern w:val="0"/>
                <w:sz w:val="24"/>
                <w:szCs w:val="24"/>
              </w:rPr>
            </w:pPr>
          </w:p>
          <w:p>
            <w:pPr>
              <w:widowControl/>
              <w:spacing w:line="300" w:lineRule="exact"/>
              <w:jc w:val="center"/>
              <w:rPr>
                <w:rFonts w:ascii="Times New Roman" w:hAnsi="Times New Roman" w:eastAsia="仿宋"/>
                <w:kern w:val="0"/>
                <w:sz w:val="24"/>
                <w:szCs w:val="24"/>
              </w:rPr>
            </w:pPr>
          </w:p>
          <w:p>
            <w:pPr>
              <w:widowControl/>
              <w:spacing w:line="300" w:lineRule="exact"/>
              <w:jc w:val="center"/>
              <w:rPr>
                <w:rFonts w:ascii="Times New Roman" w:hAnsi="Times New Roman" w:eastAsia="仿宋"/>
                <w:kern w:val="0"/>
                <w:sz w:val="24"/>
                <w:szCs w:val="24"/>
              </w:rPr>
            </w:pPr>
          </w:p>
          <w:p>
            <w:pPr>
              <w:widowControl/>
              <w:spacing w:line="300" w:lineRule="exact"/>
              <w:jc w:val="center"/>
              <w:rPr>
                <w:rFonts w:ascii="Times New Roman" w:hAnsi="Times New Roman" w:eastAsia="仿宋"/>
                <w:kern w:val="0"/>
                <w:sz w:val="24"/>
                <w:szCs w:val="24"/>
              </w:rPr>
            </w:pPr>
          </w:p>
          <w:p>
            <w:pPr>
              <w:widowControl/>
              <w:spacing w:line="300" w:lineRule="exact"/>
              <w:jc w:val="center"/>
              <w:rPr>
                <w:rFonts w:ascii="Times New Roman" w:hAnsi="Times New Roman" w:eastAsia="仿宋"/>
                <w:kern w:val="0"/>
                <w:sz w:val="24"/>
                <w:szCs w:val="24"/>
              </w:rPr>
            </w:pPr>
            <w:r>
              <w:rPr>
                <w:rFonts w:hint="eastAsia" w:ascii="Times New Roman" w:hAnsi="Times New Roman" w:eastAsia="仿宋"/>
                <w:kern w:val="0"/>
                <w:sz w:val="24"/>
                <w:szCs w:val="24"/>
              </w:rPr>
              <w:t>发行并购</w:t>
            </w:r>
            <w:r>
              <w:rPr>
                <w:rFonts w:ascii="Times New Roman" w:hAnsi="Times New Roman" w:eastAsia="仿宋"/>
                <w:kern w:val="0"/>
                <w:sz w:val="24"/>
                <w:szCs w:val="24"/>
              </w:rPr>
              <w:t>业务负面行为</w:t>
            </w:r>
          </w:p>
        </w:tc>
        <w:tc>
          <w:tcPr>
            <w:tcW w:w="1701" w:type="dxa"/>
            <w:vMerge w:val="restart"/>
            <w:shd w:val="clear" w:color="auto" w:fill="auto"/>
            <w:vAlign w:val="center"/>
          </w:tcPr>
          <w:p>
            <w:pPr>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普通</w:t>
            </w:r>
            <w:r>
              <w:rPr>
                <w:rFonts w:ascii="Times New Roman" w:hAnsi="Times New Roman" w:eastAsia="仿宋"/>
                <w:bCs/>
                <w:kern w:val="0"/>
                <w:sz w:val="24"/>
                <w:szCs w:val="24"/>
              </w:rPr>
              <w:t>股、优先股、可转债定向</w:t>
            </w:r>
            <w:r>
              <w:rPr>
                <w:rFonts w:hint="eastAsia" w:ascii="Times New Roman" w:hAnsi="Times New Roman" w:eastAsia="仿宋"/>
                <w:bCs/>
                <w:kern w:val="0"/>
                <w:sz w:val="24"/>
                <w:szCs w:val="24"/>
              </w:rPr>
              <w:t>发行</w:t>
            </w:r>
          </w:p>
        </w:tc>
        <w:tc>
          <w:tcPr>
            <w:tcW w:w="4929" w:type="dxa"/>
            <w:shd w:val="clear" w:color="auto" w:fill="auto"/>
            <w:vAlign w:val="center"/>
          </w:tcPr>
          <w:p>
            <w:pPr>
              <w:widowControl/>
              <w:spacing w:line="300" w:lineRule="exact"/>
              <w:rPr>
                <w:rFonts w:ascii="Times New Roman" w:hAnsi="Times New Roman" w:eastAsia="仿宋"/>
                <w:bCs/>
                <w:kern w:val="0"/>
                <w:sz w:val="24"/>
                <w:szCs w:val="24"/>
              </w:rPr>
            </w:pPr>
            <w:r>
              <w:rPr>
                <w:rFonts w:hint="eastAsia" w:ascii="Times New Roman" w:hAnsi="Times New Roman" w:eastAsia="仿宋"/>
                <w:bCs/>
                <w:kern w:val="0"/>
                <w:sz w:val="24"/>
                <w:szCs w:val="24"/>
              </w:rPr>
              <w:t>未按规定在定向发行系统创建项目，未正确关联、披露定向发行相关公告，或系统内基本信息填报错误两项以上。</w:t>
            </w:r>
          </w:p>
        </w:tc>
        <w:tc>
          <w:tcPr>
            <w:tcW w:w="1701" w:type="dxa"/>
            <w:shd w:val="clear" w:color="auto" w:fill="auto"/>
            <w:vAlign w:val="center"/>
          </w:tcPr>
          <w:p>
            <w:pPr>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36</w:t>
            </w:r>
          </w:p>
        </w:tc>
        <w:tc>
          <w:tcPr>
            <w:tcW w:w="851" w:type="dxa"/>
            <w:vMerge w:val="continue"/>
            <w:shd w:val="clear" w:color="auto" w:fill="auto"/>
            <w:vAlign w:val="center"/>
          </w:tcPr>
          <w:p>
            <w:pPr>
              <w:spacing w:line="300" w:lineRule="exact"/>
              <w:jc w:val="center"/>
              <w:rPr>
                <w:rFonts w:ascii="Times New Roman" w:hAnsi="Times New Roman" w:eastAsia="仿宋"/>
                <w:kern w:val="0"/>
                <w:sz w:val="24"/>
                <w:szCs w:val="24"/>
              </w:rPr>
            </w:pPr>
          </w:p>
        </w:tc>
        <w:tc>
          <w:tcPr>
            <w:tcW w:w="1701" w:type="dxa"/>
            <w:vMerge w:val="continue"/>
            <w:shd w:val="clear" w:color="auto" w:fill="auto"/>
            <w:vAlign w:val="center"/>
          </w:tcPr>
          <w:p>
            <w:pPr>
              <w:widowControl/>
              <w:spacing w:line="300" w:lineRule="exact"/>
              <w:jc w:val="center"/>
              <w:rPr>
                <w:rFonts w:ascii="Times New Roman" w:hAnsi="Times New Roman" w:eastAsia="仿宋"/>
                <w:bCs/>
                <w:kern w:val="0"/>
                <w:sz w:val="24"/>
                <w:szCs w:val="24"/>
              </w:rPr>
            </w:pPr>
          </w:p>
        </w:tc>
        <w:tc>
          <w:tcPr>
            <w:tcW w:w="4929" w:type="dxa"/>
            <w:shd w:val="clear" w:color="auto" w:fill="auto"/>
            <w:vAlign w:val="center"/>
          </w:tcPr>
          <w:p>
            <w:pPr>
              <w:widowControl/>
              <w:spacing w:line="300" w:lineRule="exact"/>
              <w:rPr>
                <w:rFonts w:ascii="Times New Roman" w:hAnsi="Times New Roman" w:eastAsia="仿宋"/>
                <w:bCs/>
                <w:kern w:val="0"/>
                <w:sz w:val="24"/>
                <w:szCs w:val="24"/>
              </w:rPr>
            </w:pPr>
            <w:r>
              <w:rPr>
                <w:rFonts w:hint="eastAsia" w:ascii="Times New Roman" w:hAnsi="Times New Roman" w:eastAsia="仿宋"/>
                <w:bCs/>
                <w:kern w:val="0"/>
                <w:sz w:val="24"/>
                <w:szCs w:val="24"/>
              </w:rPr>
              <w:t>未在规定的</w:t>
            </w:r>
            <w:r>
              <w:rPr>
                <w:rFonts w:ascii="Times New Roman" w:hAnsi="Times New Roman" w:eastAsia="仿宋"/>
                <w:bCs/>
                <w:kern w:val="0"/>
                <w:sz w:val="24"/>
                <w:szCs w:val="24"/>
              </w:rPr>
              <w:t>业务流程时限内办理定向发行。</w:t>
            </w:r>
          </w:p>
        </w:tc>
        <w:tc>
          <w:tcPr>
            <w:tcW w:w="1701" w:type="dxa"/>
            <w:shd w:val="clear" w:color="auto" w:fill="auto"/>
            <w:vAlign w:val="center"/>
          </w:tcPr>
          <w:p>
            <w:pPr>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37</w:t>
            </w:r>
          </w:p>
        </w:tc>
        <w:tc>
          <w:tcPr>
            <w:tcW w:w="851" w:type="dxa"/>
            <w:vMerge w:val="continue"/>
            <w:shd w:val="clear" w:color="auto" w:fill="auto"/>
            <w:vAlign w:val="center"/>
          </w:tcPr>
          <w:p>
            <w:pPr>
              <w:spacing w:line="300" w:lineRule="exact"/>
              <w:jc w:val="center"/>
              <w:rPr>
                <w:rFonts w:ascii="Times New Roman" w:hAnsi="Times New Roman" w:eastAsia="仿宋"/>
                <w:kern w:val="0"/>
                <w:sz w:val="24"/>
                <w:szCs w:val="24"/>
              </w:rPr>
            </w:pPr>
          </w:p>
        </w:tc>
        <w:tc>
          <w:tcPr>
            <w:tcW w:w="1701" w:type="dxa"/>
            <w:vMerge w:val="continue"/>
            <w:shd w:val="clear" w:color="auto" w:fill="auto"/>
            <w:vAlign w:val="center"/>
          </w:tcPr>
          <w:p>
            <w:pPr>
              <w:widowControl/>
              <w:spacing w:line="300" w:lineRule="exact"/>
              <w:jc w:val="center"/>
              <w:rPr>
                <w:rFonts w:ascii="Times New Roman" w:hAnsi="Times New Roman" w:eastAsia="仿宋"/>
                <w:bCs/>
                <w:kern w:val="0"/>
                <w:sz w:val="24"/>
                <w:szCs w:val="24"/>
              </w:rPr>
            </w:pPr>
          </w:p>
        </w:tc>
        <w:tc>
          <w:tcPr>
            <w:tcW w:w="4929" w:type="dxa"/>
            <w:shd w:val="clear" w:color="auto" w:fill="auto"/>
            <w:vAlign w:val="center"/>
          </w:tcPr>
          <w:p>
            <w:pPr>
              <w:widowControl/>
              <w:spacing w:line="300" w:lineRule="exact"/>
              <w:rPr>
                <w:rFonts w:ascii="Times New Roman" w:hAnsi="Times New Roman" w:eastAsia="仿宋"/>
                <w:bCs/>
                <w:kern w:val="0"/>
                <w:sz w:val="24"/>
                <w:szCs w:val="24"/>
              </w:rPr>
            </w:pPr>
            <w:r>
              <w:rPr>
                <w:rFonts w:hint="eastAsia" w:ascii="Times New Roman" w:hAnsi="Times New Roman" w:eastAsia="仿宋"/>
                <w:bCs/>
                <w:kern w:val="0"/>
                <w:sz w:val="24"/>
                <w:szCs w:val="24"/>
              </w:rPr>
              <w:t>通过定向发行系统报送同一次定向发行</w:t>
            </w:r>
            <w:r>
              <w:rPr>
                <w:rFonts w:ascii="Times New Roman" w:hAnsi="Times New Roman" w:eastAsia="仿宋"/>
                <w:bCs/>
                <w:kern w:val="0"/>
                <w:sz w:val="24"/>
                <w:szCs w:val="24"/>
              </w:rPr>
              <w:t>申请</w:t>
            </w:r>
            <w:r>
              <w:rPr>
                <w:rFonts w:hint="eastAsia" w:ascii="Times New Roman" w:hAnsi="Times New Roman" w:eastAsia="仿宋"/>
                <w:bCs/>
                <w:kern w:val="0"/>
                <w:sz w:val="24"/>
                <w:szCs w:val="24"/>
              </w:rPr>
              <w:t>文件被全国股转公司受理员驳回两次及以上。</w:t>
            </w:r>
          </w:p>
        </w:tc>
        <w:tc>
          <w:tcPr>
            <w:tcW w:w="1701" w:type="dxa"/>
            <w:shd w:val="clear" w:color="auto" w:fill="auto"/>
            <w:vAlign w:val="center"/>
          </w:tcPr>
          <w:p>
            <w:pPr>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38</w:t>
            </w:r>
          </w:p>
        </w:tc>
        <w:tc>
          <w:tcPr>
            <w:tcW w:w="851" w:type="dxa"/>
            <w:vMerge w:val="continue"/>
            <w:shd w:val="clear" w:color="auto" w:fill="auto"/>
            <w:vAlign w:val="center"/>
          </w:tcPr>
          <w:p>
            <w:pPr>
              <w:spacing w:line="300" w:lineRule="exact"/>
              <w:jc w:val="center"/>
              <w:rPr>
                <w:rFonts w:ascii="Times New Roman" w:hAnsi="Times New Roman" w:eastAsia="仿宋"/>
                <w:kern w:val="0"/>
                <w:sz w:val="24"/>
                <w:szCs w:val="24"/>
              </w:rPr>
            </w:pPr>
          </w:p>
        </w:tc>
        <w:tc>
          <w:tcPr>
            <w:tcW w:w="1701" w:type="dxa"/>
            <w:vMerge w:val="continue"/>
            <w:shd w:val="clear" w:color="auto" w:fill="auto"/>
            <w:vAlign w:val="center"/>
          </w:tcPr>
          <w:p>
            <w:pPr>
              <w:widowControl/>
              <w:spacing w:line="300" w:lineRule="exact"/>
              <w:jc w:val="center"/>
              <w:rPr>
                <w:rFonts w:ascii="Times New Roman" w:hAnsi="Times New Roman" w:eastAsia="仿宋"/>
                <w:bCs/>
                <w:kern w:val="0"/>
                <w:sz w:val="24"/>
                <w:szCs w:val="24"/>
              </w:rPr>
            </w:pPr>
          </w:p>
        </w:tc>
        <w:tc>
          <w:tcPr>
            <w:tcW w:w="4929" w:type="dxa"/>
            <w:shd w:val="clear" w:color="auto" w:fill="auto"/>
            <w:vAlign w:val="center"/>
          </w:tcPr>
          <w:p>
            <w:pPr>
              <w:widowControl/>
              <w:spacing w:line="300" w:lineRule="exact"/>
              <w:rPr>
                <w:rFonts w:ascii="Times New Roman" w:hAnsi="Times New Roman" w:eastAsia="仿宋"/>
                <w:bCs/>
                <w:kern w:val="0"/>
                <w:sz w:val="24"/>
                <w:szCs w:val="24"/>
              </w:rPr>
            </w:pPr>
            <w:r>
              <w:rPr>
                <w:rFonts w:hint="eastAsia" w:ascii="Times New Roman" w:hAnsi="Times New Roman" w:eastAsia="仿宋"/>
                <w:bCs/>
                <w:kern w:val="0"/>
                <w:sz w:val="24"/>
                <w:szCs w:val="24"/>
              </w:rPr>
              <w:t>申请文件未按规定</w:t>
            </w:r>
            <w:r>
              <w:rPr>
                <w:rFonts w:ascii="Times New Roman" w:hAnsi="Times New Roman" w:eastAsia="仿宋"/>
                <w:bCs/>
                <w:kern w:val="0"/>
                <w:sz w:val="24"/>
                <w:szCs w:val="24"/>
              </w:rPr>
              <w:t>模板编制，</w:t>
            </w:r>
            <w:r>
              <w:rPr>
                <w:rFonts w:hint="eastAsia" w:ascii="Times New Roman" w:hAnsi="Times New Roman" w:eastAsia="仿宋"/>
                <w:bCs/>
                <w:kern w:val="0"/>
                <w:sz w:val="24"/>
                <w:szCs w:val="24"/>
              </w:rPr>
              <w:t>或存在</w:t>
            </w:r>
            <w:r>
              <w:rPr>
                <w:rFonts w:ascii="Times New Roman" w:hAnsi="Times New Roman" w:eastAsia="仿宋"/>
                <w:bCs/>
                <w:kern w:val="0"/>
                <w:sz w:val="24"/>
                <w:szCs w:val="24"/>
              </w:rPr>
              <w:t>内容错误</w:t>
            </w:r>
            <w:r>
              <w:rPr>
                <w:rFonts w:hint="eastAsia" w:ascii="Times New Roman" w:hAnsi="Times New Roman" w:eastAsia="仿宋"/>
                <w:bCs/>
                <w:kern w:val="0"/>
                <w:sz w:val="24"/>
                <w:szCs w:val="24"/>
              </w:rPr>
              <w:t>。</w:t>
            </w:r>
          </w:p>
        </w:tc>
        <w:tc>
          <w:tcPr>
            <w:tcW w:w="1701" w:type="dxa"/>
            <w:shd w:val="clear" w:color="auto" w:fill="auto"/>
            <w:vAlign w:val="center"/>
          </w:tcPr>
          <w:p>
            <w:pPr>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39</w:t>
            </w:r>
          </w:p>
        </w:tc>
        <w:tc>
          <w:tcPr>
            <w:tcW w:w="851" w:type="dxa"/>
            <w:vMerge w:val="continue"/>
            <w:shd w:val="clear" w:color="auto" w:fill="auto"/>
            <w:vAlign w:val="center"/>
          </w:tcPr>
          <w:p>
            <w:pPr>
              <w:spacing w:line="300" w:lineRule="exact"/>
              <w:jc w:val="center"/>
              <w:rPr>
                <w:rFonts w:ascii="Times New Roman" w:hAnsi="Times New Roman" w:eastAsia="仿宋"/>
                <w:kern w:val="0"/>
                <w:sz w:val="24"/>
                <w:szCs w:val="24"/>
              </w:rPr>
            </w:pPr>
          </w:p>
        </w:tc>
        <w:tc>
          <w:tcPr>
            <w:tcW w:w="1701" w:type="dxa"/>
            <w:vMerge w:val="continue"/>
            <w:shd w:val="clear" w:color="auto" w:fill="auto"/>
            <w:vAlign w:val="center"/>
          </w:tcPr>
          <w:p>
            <w:pPr>
              <w:widowControl/>
              <w:spacing w:line="300" w:lineRule="exact"/>
              <w:jc w:val="center"/>
              <w:rPr>
                <w:rFonts w:ascii="Times New Roman" w:hAnsi="Times New Roman" w:eastAsia="仿宋"/>
                <w:bCs/>
                <w:kern w:val="0"/>
                <w:sz w:val="24"/>
                <w:szCs w:val="24"/>
              </w:rPr>
            </w:pPr>
          </w:p>
        </w:tc>
        <w:tc>
          <w:tcPr>
            <w:tcW w:w="4929" w:type="dxa"/>
            <w:shd w:val="clear" w:color="auto" w:fill="auto"/>
            <w:vAlign w:val="center"/>
          </w:tcPr>
          <w:p>
            <w:pPr>
              <w:widowControl/>
              <w:spacing w:line="300" w:lineRule="exact"/>
              <w:rPr>
                <w:rFonts w:ascii="Times New Roman" w:hAnsi="Times New Roman" w:eastAsia="仿宋"/>
                <w:bCs/>
                <w:kern w:val="0"/>
                <w:sz w:val="24"/>
                <w:szCs w:val="24"/>
              </w:rPr>
            </w:pPr>
            <w:r>
              <w:rPr>
                <w:rFonts w:hint="eastAsia" w:ascii="Times New Roman" w:hAnsi="Times New Roman" w:eastAsia="仿宋"/>
                <w:bCs/>
                <w:kern w:val="0"/>
                <w:sz w:val="24"/>
                <w:szCs w:val="24"/>
              </w:rPr>
              <w:t>中介机构意见存在重大错误或遗漏，如出现中介机构未对</w:t>
            </w:r>
            <w:r>
              <w:rPr>
                <w:rFonts w:ascii="Times New Roman" w:hAnsi="Times New Roman" w:eastAsia="仿宋"/>
                <w:bCs/>
                <w:kern w:val="0"/>
                <w:sz w:val="24"/>
                <w:szCs w:val="24"/>
              </w:rPr>
              <w:t>规</w:t>
            </w:r>
            <w:r>
              <w:rPr>
                <w:rFonts w:hint="eastAsia" w:ascii="Times New Roman" w:hAnsi="Times New Roman" w:eastAsia="仿宋"/>
                <w:bCs/>
                <w:kern w:val="0"/>
                <w:sz w:val="24"/>
                <w:szCs w:val="24"/>
              </w:rPr>
              <w:t>定</w:t>
            </w:r>
            <w:r>
              <w:rPr>
                <w:rFonts w:ascii="Times New Roman" w:hAnsi="Times New Roman" w:eastAsia="仿宋"/>
                <w:bCs/>
                <w:kern w:val="0"/>
                <w:sz w:val="24"/>
                <w:szCs w:val="24"/>
              </w:rPr>
              <w:t>事项</w:t>
            </w:r>
            <w:r>
              <w:rPr>
                <w:rFonts w:hint="eastAsia" w:ascii="Times New Roman" w:hAnsi="Times New Roman" w:eastAsia="仿宋"/>
                <w:bCs/>
                <w:kern w:val="0"/>
                <w:sz w:val="24"/>
                <w:szCs w:val="24"/>
              </w:rPr>
              <w:t>发表意见、中介机构意见前后矛盾、中介机构间意见不一致、中介机构</w:t>
            </w:r>
            <w:r>
              <w:rPr>
                <w:rFonts w:ascii="Times New Roman" w:hAnsi="Times New Roman" w:eastAsia="仿宋"/>
                <w:kern w:val="0"/>
                <w:sz w:val="24"/>
                <w:szCs w:val="24"/>
              </w:rPr>
              <w:t>漏答</w:t>
            </w:r>
            <w:r>
              <w:rPr>
                <w:rFonts w:hint="eastAsia" w:ascii="Times New Roman" w:hAnsi="Times New Roman" w:eastAsia="仿宋"/>
                <w:kern w:val="0"/>
                <w:sz w:val="24"/>
                <w:szCs w:val="24"/>
              </w:rPr>
              <w:t>或</w:t>
            </w:r>
            <w:r>
              <w:rPr>
                <w:rFonts w:ascii="Times New Roman" w:hAnsi="Times New Roman" w:eastAsia="仿宋"/>
                <w:kern w:val="0"/>
                <w:sz w:val="24"/>
                <w:szCs w:val="24"/>
              </w:rPr>
              <w:t>不按要求回答反馈意见</w:t>
            </w:r>
            <w:r>
              <w:rPr>
                <w:rFonts w:hint="eastAsia" w:ascii="Times New Roman" w:hAnsi="Times New Roman" w:eastAsia="仿宋"/>
                <w:kern w:val="0"/>
                <w:sz w:val="24"/>
                <w:szCs w:val="24"/>
              </w:rPr>
              <w:t>等情形。</w:t>
            </w:r>
          </w:p>
        </w:tc>
        <w:tc>
          <w:tcPr>
            <w:tcW w:w="1701" w:type="dxa"/>
            <w:shd w:val="clear" w:color="auto" w:fill="auto"/>
            <w:vAlign w:val="center"/>
          </w:tcPr>
          <w:p>
            <w:pPr>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40</w:t>
            </w:r>
          </w:p>
        </w:tc>
        <w:tc>
          <w:tcPr>
            <w:tcW w:w="851" w:type="dxa"/>
            <w:vMerge w:val="continue"/>
            <w:shd w:val="clear" w:color="auto" w:fill="auto"/>
            <w:vAlign w:val="center"/>
          </w:tcPr>
          <w:p>
            <w:pPr>
              <w:spacing w:line="300" w:lineRule="exact"/>
              <w:jc w:val="center"/>
              <w:rPr>
                <w:rFonts w:ascii="Times New Roman" w:hAnsi="Times New Roman" w:eastAsia="仿宋"/>
                <w:kern w:val="0"/>
                <w:sz w:val="24"/>
                <w:szCs w:val="24"/>
              </w:rPr>
            </w:pPr>
          </w:p>
        </w:tc>
        <w:tc>
          <w:tcPr>
            <w:tcW w:w="1701" w:type="dxa"/>
            <w:vMerge w:val="continue"/>
            <w:shd w:val="clear" w:color="auto" w:fill="auto"/>
            <w:vAlign w:val="center"/>
          </w:tcPr>
          <w:p>
            <w:pPr>
              <w:widowControl/>
              <w:spacing w:line="300" w:lineRule="exact"/>
              <w:jc w:val="center"/>
              <w:rPr>
                <w:rFonts w:ascii="Times New Roman" w:hAnsi="Times New Roman" w:eastAsia="仿宋"/>
                <w:bCs/>
                <w:kern w:val="0"/>
                <w:sz w:val="24"/>
                <w:szCs w:val="24"/>
              </w:rPr>
            </w:pPr>
          </w:p>
        </w:tc>
        <w:tc>
          <w:tcPr>
            <w:tcW w:w="4929" w:type="dxa"/>
            <w:shd w:val="clear" w:color="auto" w:fill="auto"/>
            <w:vAlign w:val="center"/>
          </w:tcPr>
          <w:p>
            <w:pPr>
              <w:widowControl/>
              <w:spacing w:line="300" w:lineRule="exact"/>
              <w:rPr>
                <w:rFonts w:ascii="Times New Roman" w:hAnsi="Times New Roman" w:eastAsia="仿宋"/>
                <w:bCs/>
                <w:kern w:val="0"/>
                <w:sz w:val="24"/>
                <w:szCs w:val="24"/>
              </w:rPr>
            </w:pPr>
            <w:r>
              <w:rPr>
                <w:rFonts w:hint="eastAsia" w:ascii="Times New Roman" w:hAnsi="Times New Roman" w:eastAsia="仿宋"/>
                <w:bCs/>
                <w:kern w:val="0"/>
                <w:sz w:val="24"/>
                <w:szCs w:val="24"/>
              </w:rPr>
              <w:t>提交申请文件、反馈回复文件时上传错误文件、遗漏文件，或遗漏文件签章。</w:t>
            </w:r>
          </w:p>
        </w:tc>
        <w:tc>
          <w:tcPr>
            <w:tcW w:w="1701" w:type="dxa"/>
            <w:shd w:val="clear" w:color="auto" w:fill="auto"/>
            <w:vAlign w:val="center"/>
          </w:tcPr>
          <w:p>
            <w:pPr>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lang w:val="en"/>
              </w:rPr>
              <w:t>4</w:t>
            </w:r>
            <w:r>
              <w:rPr>
                <w:rFonts w:hint="eastAsia" w:ascii="Times New Roman" w:hAnsi="Times New Roman" w:eastAsia="仿宋"/>
                <w:bCs/>
                <w:kern w:val="0"/>
                <w:sz w:val="24"/>
                <w:szCs w:val="24"/>
              </w:rPr>
              <w:t>1</w:t>
            </w:r>
          </w:p>
        </w:tc>
        <w:tc>
          <w:tcPr>
            <w:tcW w:w="851" w:type="dxa"/>
            <w:vMerge w:val="continue"/>
            <w:shd w:val="clear" w:color="auto" w:fill="auto"/>
            <w:vAlign w:val="center"/>
          </w:tcPr>
          <w:p>
            <w:pPr>
              <w:spacing w:line="300" w:lineRule="exact"/>
              <w:jc w:val="center"/>
              <w:rPr>
                <w:rFonts w:ascii="Times New Roman" w:hAnsi="Times New Roman" w:eastAsia="仿宋"/>
                <w:kern w:val="0"/>
                <w:sz w:val="24"/>
                <w:szCs w:val="24"/>
              </w:rPr>
            </w:pPr>
          </w:p>
        </w:tc>
        <w:tc>
          <w:tcPr>
            <w:tcW w:w="1701" w:type="dxa"/>
            <w:vMerge w:val="continue"/>
            <w:shd w:val="clear" w:color="auto" w:fill="auto"/>
            <w:vAlign w:val="center"/>
          </w:tcPr>
          <w:p>
            <w:pPr>
              <w:widowControl/>
              <w:spacing w:line="300" w:lineRule="exact"/>
              <w:jc w:val="center"/>
              <w:rPr>
                <w:rFonts w:ascii="Times New Roman" w:hAnsi="Times New Roman" w:eastAsia="仿宋"/>
                <w:bCs/>
                <w:kern w:val="0"/>
                <w:sz w:val="24"/>
                <w:szCs w:val="24"/>
              </w:rPr>
            </w:pPr>
          </w:p>
        </w:tc>
        <w:tc>
          <w:tcPr>
            <w:tcW w:w="4929" w:type="dxa"/>
            <w:shd w:val="clear" w:color="auto" w:fill="auto"/>
            <w:vAlign w:val="center"/>
          </w:tcPr>
          <w:p>
            <w:pPr>
              <w:widowControl/>
              <w:spacing w:line="300" w:lineRule="exact"/>
              <w:rPr>
                <w:rFonts w:ascii="Times New Roman" w:hAnsi="Times New Roman" w:eastAsia="仿宋"/>
                <w:kern w:val="0"/>
                <w:sz w:val="24"/>
                <w:szCs w:val="24"/>
              </w:rPr>
            </w:pPr>
            <w:r>
              <w:rPr>
                <w:rFonts w:hint="eastAsia" w:ascii="Times New Roman" w:hAnsi="Times New Roman" w:eastAsia="仿宋"/>
                <w:bCs/>
                <w:kern w:val="0"/>
                <w:sz w:val="24"/>
                <w:szCs w:val="24"/>
              </w:rPr>
              <w:t>取得</w:t>
            </w:r>
            <w:r>
              <w:rPr>
                <w:rFonts w:ascii="Times New Roman" w:hAnsi="Times New Roman" w:eastAsia="仿宋"/>
                <w:bCs/>
                <w:kern w:val="0"/>
                <w:sz w:val="24"/>
                <w:szCs w:val="24"/>
              </w:rPr>
              <w:t>无异议函前</w:t>
            </w:r>
            <w:r>
              <w:rPr>
                <w:rFonts w:hint="eastAsia" w:ascii="Times New Roman" w:hAnsi="Times New Roman" w:eastAsia="仿宋"/>
                <w:bCs/>
                <w:kern w:val="0"/>
                <w:sz w:val="24"/>
                <w:szCs w:val="24"/>
              </w:rPr>
              <w:t>对象不确定的发行，在确定</w:t>
            </w:r>
            <w:r>
              <w:rPr>
                <w:rFonts w:ascii="Times New Roman" w:hAnsi="Times New Roman" w:eastAsia="仿宋"/>
                <w:bCs/>
                <w:kern w:val="0"/>
                <w:sz w:val="24"/>
                <w:szCs w:val="24"/>
              </w:rPr>
              <w:t>发行对象后，</w:t>
            </w:r>
            <w:r>
              <w:rPr>
                <w:rFonts w:hint="eastAsia" w:ascii="Times New Roman" w:hAnsi="Times New Roman" w:eastAsia="仿宋"/>
                <w:bCs/>
                <w:kern w:val="0"/>
                <w:sz w:val="24"/>
                <w:szCs w:val="24"/>
              </w:rPr>
              <w:t>未经审查通过即披露认购公告。</w:t>
            </w:r>
          </w:p>
        </w:tc>
        <w:tc>
          <w:tcPr>
            <w:tcW w:w="1701" w:type="dxa"/>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42</w:t>
            </w:r>
          </w:p>
        </w:tc>
        <w:tc>
          <w:tcPr>
            <w:tcW w:w="851" w:type="dxa"/>
            <w:vMerge w:val="continue"/>
            <w:shd w:val="clear" w:color="auto" w:fill="auto"/>
            <w:vAlign w:val="center"/>
          </w:tcPr>
          <w:p>
            <w:pPr>
              <w:spacing w:line="300" w:lineRule="exact"/>
              <w:jc w:val="center"/>
              <w:rPr>
                <w:rFonts w:ascii="Times New Roman" w:hAnsi="Times New Roman" w:eastAsia="仿宋"/>
                <w:kern w:val="0"/>
                <w:sz w:val="24"/>
                <w:szCs w:val="24"/>
              </w:rPr>
            </w:pPr>
          </w:p>
        </w:tc>
        <w:tc>
          <w:tcPr>
            <w:tcW w:w="1701" w:type="dxa"/>
            <w:vMerge w:val="restart"/>
            <w:shd w:val="clear" w:color="auto" w:fill="auto"/>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并购重组</w:t>
            </w:r>
          </w:p>
        </w:tc>
        <w:tc>
          <w:tcPr>
            <w:tcW w:w="4929" w:type="dxa"/>
            <w:shd w:val="clear" w:color="auto" w:fill="auto"/>
            <w:vAlign w:val="center"/>
          </w:tcPr>
          <w:p>
            <w:pPr>
              <w:widowControl/>
              <w:spacing w:line="300" w:lineRule="exact"/>
              <w:rPr>
                <w:rFonts w:ascii="Times New Roman" w:hAnsi="Times New Roman" w:eastAsia="仿宋"/>
                <w:bCs/>
                <w:kern w:val="0"/>
                <w:sz w:val="24"/>
                <w:szCs w:val="24"/>
              </w:rPr>
            </w:pPr>
            <w:r>
              <w:rPr>
                <w:rFonts w:hint="eastAsia" w:ascii="Times New Roman" w:hAnsi="Times New Roman" w:eastAsia="仿宋"/>
                <w:bCs/>
                <w:kern w:val="0"/>
                <w:sz w:val="24"/>
                <w:szCs w:val="24"/>
              </w:rPr>
              <w:t>明显</w:t>
            </w:r>
            <w:r>
              <w:rPr>
                <w:rFonts w:ascii="Times New Roman" w:hAnsi="Times New Roman" w:eastAsia="仿宋"/>
                <w:bCs/>
                <w:kern w:val="0"/>
                <w:sz w:val="24"/>
                <w:szCs w:val="24"/>
              </w:rPr>
              <w:t>不构成</w:t>
            </w:r>
            <w:r>
              <w:rPr>
                <w:rFonts w:hint="eastAsia" w:ascii="Times New Roman" w:hAnsi="Times New Roman" w:eastAsia="仿宋"/>
                <w:bCs/>
                <w:kern w:val="0"/>
                <w:sz w:val="24"/>
                <w:szCs w:val="24"/>
              </w:rPr>
              <w:t>重大</w:t>
            </w:r>
            <w:r>
              <w:rPr>
                <w:rFonts w:ascii="Times New Roman" w:hAnsi="Times New Roman" w:eastAsia="仿宋"/>
                <w:bCs/>
                <w:kern w:val="0"/>
                <w:sz w:val="24"/>
                <w:szCs w:val="24"/>
              </w:rPr>
              <w:t>资产重组的</w:t>
            </w:r>
            <w:r>
              <w:rPr>
                <w:rFonts w:hint="eastAsia" w:ascii="Times New Roman" w:hAnsi="Times New Roman" w:eastAsia="仿宋"/>
                <w:bCs/>
                <w:kern w:val="0"/>
                <w:sz w:val="24"/>
                <w:szCs w:val="24"/>
              </w:rPr>
              <w:t>交易行为，仍</w:t>
            </w:r>
            <w:r>
              <w:rPr>
                <w:rFonts w:ascii="Times New Roman" w:hAnsi="Times New Roman" w:eastAsia="仿宋"/>
                <w:bCs/>
                <w:kern w:val="0"/>
                <w:sz w:val="24"/>
                <w:szCs w:val="24"/>
              </w:rPr>
              <w:t>督导公司</w:t>
            </w:r>
            <w:r>
              <w:rPr>
                <w:rFonts w:hint="eastAsia" w:ascii="Times New Roman" w:hAnsi="Times New Roman" w:eastAsia="仿宋"/>
                <w:bCs/>
                <w:kern w:val="0"/>
                <w:sz w:val="24"/>
                <w:szCs w:val="24"/>
              </w:rPr>
              <w:t>履行了</w:t>
            </w:r>
            <w:r>
              <w:rPr>
                <w:rFonts w:ascii="Times New Roman" w:hAnsi="Times New Roman" w:eastAsia="仿宋"/>
                <w:bCs/>
                <w:kern w:val="0"/>
                <w:sz w:val="24"/>
                <w:szCs w:val="24"/>
              </w:rPr>
              <w:t>重组程序</w:t>
            </w:r>
            <w:r>
              <w:rPr>
                <w:rFonts w:hint="eastAsia" w:ascii="Times New Roman" w:hAnsi="Times New Roman" w:eastAsia="仿宋"/>
                <w:bCs/>
                <w:kern w:val="0"/>
                <w:sz w:val="24"/>
                <w:szCs w:val="24"/>
              </w:rPr>
              <w:t>。</w:t>
            </w:r>
          </w:p>
        </w:tc>
        <w:tc>
          <w:tcPr>
            <w:tcW w:w="1701" w:type="dxa"/>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43</w:t>
            </w:r>
          </w:p>
        </w:tc>
        <w:tc>
          <w:tcPr>
            <w:tcW w:w="851" w:type="dxa"/>
            <w:vMerge w:val="continue"/>
            <w:shd w:val="clear" w:color="auto" w:fill="auto"/>
            <w:vAlign w:val="center"/>
          </w:tcPr>
          <w:p>
            <w:pPr>
              <w:spacing w:line="300" w:lineRule="exact"/>
              <w:jc w:val="center"/>
              <w:rPr>
                <w:rFonts w:ascii="Times New Roman" w:hAnsi="Times New Roman" w:eastAsia="仿宋"/>
                <w:kern w:val="0"/>
                <w:sz w:val="24"/>
                <w:szCs w:val="24"/>
              </w:rPr>
            </w:pPr>
          </w:p>
        </w:tc>
        <w:tc>
          <w:tcPr>
            <w:tcW w:w="1701" w:type="dxa"/>
            <w:vMerge w:val="continue"/>
            <w:shd w:val="clear" w:color="auto" w:fill="auto"/>
            <w:vAlign w:val="center"/>
          </w:tcPr>
          <w:p>
            <w:pPr>
              <w:widowControl/>
              <w:spacing w:line="300" w:lineRule="exact"/>
              <w:jc w:val="center"/>
              <w:rPr>
                <w:rFonts w:ascii="Times New Roman" w:hAnsi="Times New Roman" w:eastAsia="仿宋"/>
                <w:bCs/>
                <w:kern w:val="0"/>
                <w:sz w:val="24"/>
                <w:szCs w:val="24"/>
              </w:rPr>
            </w:pPr>
          </w:p>
        </w:tc>
        <w:tc>
          <w:tcPr>
            <w:tcW w:w="4929" w:type="dxa"/>
            <w:shd w:val="clear" w:color="auto" w:fill="auto"/>
            <w:vAlign w:val="center"/>
          </w:tcPr>
          <w:p>
            <w:pPr>
              <w:widowControl/>
              <w:spacing w:line="300" w:lineRule="exact"/>
              <w:jc w:val="left"/>
              <w:rPr>
                <w:rFonts w:ascii="Times New Roman" w:hAnsi="Times New Roman" w:eastAsia="仿宋"/>
                <w:bCs/>
                <w:kern w:val="0"/>
                <w:sz w:val="24"/>
                <w:szCs w:val="24"/>
              </w:rPr>
            </w:pPr>
            <w:r>
              <w:rPr>
                <w:rFonts w:hint="eastAsia" w:ascii="Times New Roman" w:hAnsi="Times New Roman" w:eastAsia="仿宋"/>
                <w:bCs/>
                <w:kern w:val="0"/>
                <w:sz w:val="24"/>
                <w:szCs w:val="24"/>
              </w:rPr>
              <w:t>并购</w:t>
            </w:r>
            <w:r>
              <w:rPr>
                <w:rFonts w:ascii="Times New Roman" w:hAnsi="Times New Roman" w:eastAsia="仿宋"/>
                <w:bCs/>
                <w:kern w:val="0"/>
                <w:sz w:val="24"/>
                <w:szCs w:val="24"/>
              </w:rPr>
              <w:t>重组信息披露文件</w:t>
            </w:r>
            <w:r>
              <w:rPr>
                <w:rFonts w:hint="eastAsia" w:ascii="Times New Roman" w:hAnsi="Times New Roman" w:eastAsia="仿宋"/>
                <w:bCs/>
                <w:kern w:val="0"/>
                <w:sz w:val="24"/>
                <w:szCs w:val="24"/>
              </w:rPr>
              <w:t>、相关申请文件存在</w:t>
            </w:r>
            <w:r>
              <w:rPr>
                <w:rFonts w:ascii="Times New Roman" w:hAnsi="Times New Roman" w:eastAsia="仿宋"/>
                <w:bCs/>
                <w:kern w:val="0"/>
                <w:sz w:val="24"/>
                <w:szCs w:val="24"/>
              </w:rPr>
              <w:t>错误或遗漏</w:t>
            </w:r>
            <w:r>
              <w:rPr>
                <w:rFonts w:hint="eastAsia" w:ascii="Times New Roman" w:hAnsi="Times New Roman" w:eastAsia="仿宋"/>
                <w:bCs/>
                <w:kern w:val="0"/>
                <w:sz w:val="24"/>
                <w:szCs w:val="24"/>
              </w:rPr>
              <w:t>，</w:t>
            </w:r>
            <w:r>
              <w:rPr>
                <w:rFonts w:ascii="Times New Roman" w:hAnsi="Times New Roman" w:eastAsia="仿宋"/>
                <w:bCs/>
                <w:kern w:val="0"/>
                <w:sz w:val="24"/>
                <w:szCs w:val="24"/>
              </w:rPr>
              <w:t>或出现</w:t>
            </w:r>
            <w:r>
              <w:rPr>
                <w:rFonts w:hint="eastAsia" w:ascii="Times New Roman" w:hAnsi="Times New Roman" w:eastAsia="仿宋"/>
                <w:bCs/>
                <w:kern w:val="0"/>
                <w:sz w:val="24"/>
                <w:szCs w:val="24"/>
              </w:rPr>
              <w:t>中介机构意见前后矛盾、中介机构间意见不一致等</w:t>
            </w:r>
            <w:r>
              <w:rPr>
                <w:rFonts w:ascii="Times New Roman" w:hAnsi="Times New Roman" w:eastAsia="仿宋"/>
                <w:bCs/>
                <w:kern w:val="0"/>
                <w:sz w:val="24"/>
                <w:szCs w:val="24"/>
              </w:rPr>
              <w:t>情形</w:t>
            </w:r>
            <w:r>
              <w:rPr>
                <w:rFonts w:hint="eastAsia" w:ascii="Times New Roman" w:hAnsi="Times New Roman" w:eastAsia="仿宋"/>
                <w:bCs/>
                <w:kern w:val="0"/>
                <w:sz w:val="24"/>
                <w:szCs w:val="24"/>
              </w:rPr>
              <w:t>。</w:t>
            </w:r>
          </w:p>
        </w:tc>
        <w:tc>
          <w:tcPr>
            <w:tcW w:w="1701" w:type="dxa"/>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44</w:t>
            </w:r>
          </w:p>
        </w:tc>
        <w:tc>
          <w:tcPr>
            <w:tcW w:w="851" w:type="dxa"/>
            <w:vMerge w:val="continue"/>
            <w:shd w:val="clear" w:color="auto" w:fill="auto"/>
            <w:vAlign w:val="center"/>
          </w:tcPr>
          <w:p>
            <w:pPr>
              <w:spacing w:line="300" w:lineRule="exact"/>
              <w:jc w:val="center"/>
              <w:rPr>
                <w:rFonts w:ascii="Times New Roman" w:hAnsi="Times New Roman" w:eastAsia="仿宋"/>
                <w:kern w:val="0"/>
                <w:sz w:val="24"/>
                <w:szCs w:val="24"/>
              </w:rPr>
            </w:pPr>
          </w:p>
        </w:tc>
        <w:tc>
          <w:tcPr>
            <w:tcW w:w="1701" w:type="dxa"/>
            <w:vMerge w:val="continue"/>
            <w:shd w:val="clear" w:color="auto" w:fill="auto"/>
            <w:vAlign w:val="center"/>
          </w:tcPr>
          <w:p>
            <w:pPr>
              <w:widowControl/>
              <w:spacing w:line="300" w:lineRule="exact"/>
              <w:jc w:val="center"/>
              <w:rPr>
                <w:rFonts w:ascii="Times New Roman" w:hAnsi="Times New Roman" w:eastAsia="仿宋"/>
                <w:bCs/>
                <w:kern w:val="0"/>
                <w:sz w:val="24"/>
                <w:szCs w:val="24"/>
              </w:rPr>
            </w:pPr>
          </w:p>
        </w:tc>
        <w:tc>
          <w:tcPr>
            <w:tcW w:w="4929" w:type="dxa"/>
            <w:shd w:val="clear" w:color="auto" w:fill="auto"/>
            <w:vAlign w:val="center"/>
          </w:tcPr>
          <w:p>
            <w:pPr>
              <w:widowControl/>
              <w:spacing w:line="300" w:lineRule="exact"/>
              <w:jc w:val="left"/>
              <w:rPr>
                <w:rFonts w:ascii="Times New Roman" w:hAnsi="Times New Roman" w:eastAsia="仿宋"/>
                <w:bCs/>
                <w:kern w:val="0"/>
                <w:sz w:val="24"/>
                <w:szCs w:val="24"/>
              </w:rPr>
            </w:pPr>
            <w:r>
              <w:rPr>
                <w:rFonts w:hint="eastAsia" w:ascii="Times New Roman" w:hAnsi="Times New Roman" w:eastAsia="仿宋"/>
                <w:bCs/>
                <w:kern w:val="0"/>
                <w:sz w:val="24"/>
                <w:szCs w:val="24"/>
              </w:rPr>
              <w:t>未按</w:t>
            </w:r>
            <w:r>
              <w:rPr>
                <w:rFonts w:ascii="Times New Roman" w:hAnsi="Times New Roman" w:eastAsia="仿宋"/>
                <w:bCs/>
                <w:kern w:val="0"/>
                <w:sz w:val="24"/>
                <w:szCs w:val="24"/>
              </w:rPr>
              <w:t>反馈</w:t>
            </w:r>
            <w:r>
              <w:rPr>
                <w:rFonts w:hint="eastAsia" w:ascii="Times New Roman" w:hAnsi="Times New Roman" w:eastAsia="仿宋"/>
                <w:bCs/>
                <w:kern w:val="0"/>
                <w:sz w:val="24"/>
                <w:szCs w:val="24"/>
              </w:rPr>
              <w:t>问题清单</w:t>
            </w:r>
            <w:r>
              <w:rPr>
                <w:rFonts w:ascii="Times New Roman" w:hAnsi="Times New Roman" w:eastAsia="仿宋"/>
                <w:bCs/>
                <w:kern w:val="0"/>
                <w:sz w:val="24"/>
                <w:szCs w:val="24"/>
              </w:rPr>
              <w:t>或</w:t>
            </w:r>
            <w:r>
              <w:rPr>
                <w:rFonts w:hint="eastAsia" w:ascii="Times New Roman" w:hAnsi="Times New Roman" w:eastAsia="仿宋"/>
                <w:bCs/>
                <w:kern w:val="0"/>
                <w:sz w:val="24"/>
                <w:szCs w:val="24"/>
              </w:rPr>
              <w:t>问询函</w:t>
            </w:r>
            <w:r>
              <w:rPr>
                <w:rFonts w:ascii="Times New Roman" w:hAnsi="Times New Roman" w:eastAsia="仿宋"/>
                <w:bCs/>
                <w:kern w:val="0"/>
                <w:sz w:val="24"/>
                <w:szCs w:val="24"/>
              </w:rPr>
              <w:t>要求</w:t>
            </w:r>
            <w:r>
              <w:rPr>
                <w:rFonts w:hint="eastAsia" w:ascii="Times New Roman" w:hAnsi="Times New Roman" w:eastAsia="仿宋"/>
                <w:bCs/>
                <w:kern w:val="0"/>
                <w:sz w:val="24"/>
                <w:szCs w:val="24"/>
              </w:rPr>
              <w:t>进行</w:t>
            </w:r>
            <w:r>
              <w:rPr>
                <w:rFonts w:ascii="Times New Roman" w:hAnsi="Times New Roman" w:eastAsia="仿宋"/>
                <w:bCs/>
                <w:kern w:val="0"/>
                <w:sz w:val="24"/>
                <w:szCs w:val="24"/>
              </w:rPr>
              <w:t>回复，出现漏</w:t>
            </w:r>
            <w:r>
              <w:rPr>
                <w:rFonts w:hint="eastAsia" w:ascii="Times New Roman" w:hAnsi="Times New Roman" w:eastAsia="仿宋"/>
                <w:bCs/>
                <w:kern w:val="0"/>
                <w:sz w:val="24"/>
                <w:szCs w:val="24"/>
              </w:rPr>
              <w:t>答</w:t>
            </w:r>
            <w:r>
              <w:rPr>
                <w:rFonts w:ascii="Times New Roman" w:hAnsi="Times New Roman" w:eastAsia="仿宋"/>
                <w:bCs/>
                <w:kern w:val="0"/>
                <w:sz w:val="24"/>
                <w:szCs w:val="24"/>
              </w:rPr>
              <w:t>、</w:t>
            </w:r>
            <w:r>
              <w:rPr>
                <w:rFonts w:hint="eastAsia" w:ascii="Times New Roman" w:hAnsi="Times New Roman" w:eastAsia="仿宋"/>
                <w:bCs/>
                <w:kern w:val="0"/>
                <w:sz w:val="24"/>
                <w:szCs w:val="24"/>
              </w:rPr>
              <w:t>不按</w:t>
            </w:r>
            <w:r>
              <w:rPr>
                <w:rFonts w:ascii="Times New Roman" w:hAnsi="Times New Roman" w:eastAsia="仿宋"/>
                <w:bCs/>
                <w:kern w:val="0"/>
                <w:sz w:val="24"/>
                <w:szCs w:val="24"/>
              </w:rPr>
              <w:t>要求回答等情形。</w:t>
            </w:r>
          </w:p>
        </w:tc>
        <w:tc>
          <w:tcPr>
            <w:tcW w:w="1701" w:type="dxa"/>
            <w:vAlign w:val="center"/>
          </w:tcPr>
          <w:p>
            <w:pPr>
              <w:widowControl/>
              <w:spacing w:line="300" w:lineRule="exact"/>
              <w:jc w:val="center"/>
              <w:rPr>
                <w:rFonts w:ascii="Times New Roman" w:hAnsi="Times New Roman" w:eastAsia="仿宋"/>
                <w:kern w:val="0"/>
                <w:sz w:val="24"/>
                <w:szCs w:val="24"/>
              </w:rPr>
            </w:pPr>
            <w:r>
              <w:rPr>
                <w:rFonts w:hint="eastAsia" w:ascii="Times New Roman" w:hAnsi="Times New Roman" w:eastAsia="仿宋"/>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45</w:t>
            </w:r>
          </w:p>
        </w:tc>
        <w:tc>
          <w:tcPr>
            <w:tcW w:w="851" w:type="dxa"/>
            <w:vMerge w:val="continue"/>
            <w:shd w:val="clear" w:color="auto" w:fill="auto"/>
            <w:vAlign w:val="center"/>
          </w:tcPr>
          <w:p>
            <w:pPr>
              <w:spacing w:line="300" w:lineRule="exact"/>
              <w:jc w:val="center"/>
              <w:rPr>
                <w:rFonts w:ascii="Times New Roman" w:hAnsi="Times New Roman" w:eastAsia="仿宋"/>
                <w:kern w:val="0"/>
                <w:sz w:val="24"/>
                <w:szCs w:val="24"/>
              </w:rPr>
            </w:pPr>
          </w:p>
        </w:tc>
        <w:tc>
          <w:tcPr>
            <w:tcW w:w="1701" w:type="dxa"/>
            <w:vMerge w:val="continue"/>
            <w:shd w:val="clear" w:color="auto" w:fill="auto"/>
            <w:vAlign w:val="center"/>
          </w:tcPr>
          <w:p>
            <w:pPr>
              <w:widowControl/>
              <w:spacing w:line="300" w:lineRule="exact"/>
              <w:jc w:val="center"/>
              <w:rPr>
                <w:rFonts w:ascii="Times New Roman" w:hAnsi="Times New Roman" w:eastAsia="仿宋"/>
                <w:bCs/>
                <w:kern w:val="0"/>
                <w:sz w:val="24"/>
                <w:szCs w:val="24"/>
              </w:rPr>
            </w:pPr>
          </w:p>
        </w:tc>
        <w:tc>
          <w:tcPr>
            <w:tcW w:w="4929" w:type="dxa"/>
            <w:shd w:val="clear" w:color="auto" w:fill="auto"/>
            <w:vAlign w:val="center"/>
          </w:tcPr>
          <w:p>
            <w:pPr>
              <w:widowControl/>
              <w:spacing w:line="300" w:lineRule="exact"/>
              <w:jc w:val="left"/>
              <w:rPr>
                <w:rFonts w:ascii="Times New Roman" w:hAnsi="Times New Roman" w:eastAsia="仿宋"/>
                <w:bCs/>
                <w:kern w:val="0"/>
                <w:sz w:val="24"/>
                <w:szCs w:val="24"/>
              </w:rPr>
            </w:pPr>
            <w:r>
              <w:rPr>
                <w:rFonts w:hint="eastAsia" w:ascii="Times New Roman" w:hAnsi="Times New Roman" w:eastAsia="仿宋"/>
                <w:bCs/>
                <w:kern w:val="0"/>
                <w:sz w:val="24"/>
                <w:szCs w:val="24"/>
              </w:rPr>
              <w:t>重组发行备案文件或新增股票登记相关文件错误，</w:t>
            </w:r>
            <w:r>
              <w:rPr>
                <w:rFonts w:ascii="Times New Roman" w:hAnsi="Times New Roman" w:eastAsia="仿宋"/>
                <w:bCs/>
                <w:kern w:val="0"/>
                <w:sz w:val="24"/>
                <w:szCs w:val="24"/>
              </w:rPr>
              <w:t>导致发行股份登记</w:t>
            </w:r>
            <w:r>
              <w:rPr>
                <w:rFonts w:hint="eastAsia" w:ascii="Times New Roman" w:hAnsi="Times New Roman" w:eastAsia="仿宋"/>
                <w:bCs/>
                <w:kern w:val="0"/>
                <w:sz w:val="24"/>
                <w:szCs w:val="24"/>
              </w:rPr>
              <w:t>函</w:t>
            </w:r>
            <w:r>
              <w:rPr>
                <w:rFonts w:ascii="Times New Roman" w:hAnsi="Times New Roman" w:eastAsia="仿宋"/>
                <w:bCs/>
                <w:kern w:val="0"/>
                <w:sz w:val="24"/>
                <w:szCs w:val="24"/>
              </w:rPr>
              <w:t>在发函后重新出</w:t>
            </w:r>
            <w:r>
              <w:rPr>
                <w:rFonts w:hint="eastAsia" w:ascii="Times New Roman" w:hAnsi="Times New Roman" w:eastAsia="仿宋"/>
                <w:bCs/>
                <w:kern w:val="0"/>
                <w:sz w:val="24"/>
                <w:szCs w:val="24"/>
              </w:rPr>
              <w:t>函。</w:t>
            </w:r>
          </w:p>
        </w:tc>
        <w:tc>
          <w:tcPr>
            <w:tcW w:w="1701" w:type="dxa"/>
            <w:vAlign w:val="center"/>
          </w:tcPr>
          <w:p>
            <w:pPr>
              <w:widowControl/>
              <w:spacing w:line="300" w:lineRule="exact"/>
              <w:jc w:val="center"/>
              <w:rPr>
                <w:rFonts w:ascii="Times New Roman" w:hAnsi="Times New Roman" w:eastAsia="仿宋"/>
                <w:kern w:val="0"/>
                <w:sz w:val="24"/>
                <w:szCs w:val="24"/>
              </w:rPr>
            </w:pPr>
            <w:r>
              <w:rPr>
                <w:rFonts w:hint="eastAsia" w:ascii="Times New Roman" w:hAnsi="Times New Roman" w:eastAsia="仿宋"/>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46</w:t>
            </w:r>
          </w:p>
        </w:tc>
        <w:tc>
          <w:tcPr>
            <w:tcW w:w="851" w:type="dxa"/>
            <w:vMerge w:val="continue"/>
            <w:shd w:val="clear" w:color="auto" w:fill="auto"/>
            <w:vAlign w:val="center"/>
          </w:tcPr>
          <w:p>
            <w:pPr>
              <w:spacing w:line="300" w:lineRule="exact"/>
              <w:jc w:val="center"/>
              <w:rPr>
                <w:rFonts w:ascii="Times New Roman" w:hAnsi="Times New Roman" w:eastAsia="仿宋"/>
                <w:kern w:val="0"/>
                <w:sz w:val="24"/>
                <w:szCs w:val="24"/>
              </w:rPr>
            </w:pPr>
          </w:p>
        </w:tc>
        <w:tc>
          <w:tcPr>
            <w:tcW w:w="1701" w:type="dxa"/>
            <w:vMerge w:val="continue"/>
            <w:shd w:val="clear" w:color="auto" w:fill="auto"/>
            <w:vAlign w:val="center"/>
          </w:tcPr>
          <w:p>
            <w:pPr>
              <w:widowControl/>
              <w:spacing w:line="300" w:lineRule="exact"/>
              <w:jc w:val="center"/>
              <w:rPr>
                <w:rFonts w:ascii="Times New Roman" w:hAnsi="Times New Roman" w:eastAsia="仿宋"/>
                <w:bCs/>
                <w:kern w:val="0"/>
                <w:sz w:val="24"/>
                <w:szCs w:val="24"/>
              </w:rPr>
            </w:pPr>
          </w:p>
        </w:tc>
        <w:tc>
          <w:tcPr>
            <w:tcW w:w="4929" w:type="dxa"/>
            <w:shd w:val="clear" w:color="auto" w:fill="auto"/>
            <w:vAlign w:val="center"/>
          </w:tcPr>
          <w:p>
            <w:pPr>
              <w:widowControl/>
              <w:spacing w:line="300" w:lineRule="exact"/>
              <w:jc w:val="left"/>
              <w:rPr>
                <w:rFonts w:ascii="Times New Roman" w:hAnsi="Times New Roman" w:eastAsia="仿宋"/>
                <w:bCs/>
                <w:kern w:val="0"/>
                <w:sz w:val="24"/>
                <w:szCs w:val="24"/>
              </w:rPr>
            </w:pPr>
            <w:r>
              <w:rPr>
                <w:rFonts w:hint="eastAsia" w:ascii="Times New Roman" w:hAnsi="Times New Roman" w:eastAsia="仿宋"/>
                <w:bCs/>
                <w:kern w:val="0"/>
                <w:sz w:val="24"/>
                <w:szCs w:val="24"/>
              </w:rPr>
              <w:t>未按相关</w:t>
            </w:r>
            <w:r>
              <w:rPr>
                <w:rFonts w:ascii="Times New Roman" w:hAnsi="Times New Roman" w:eastAsia="仿宋"/>
                <w:bCs/>
                <w:kern w:val="0"/>
                <w:sz w:val="24"/>
                <w:szCs w:val="24"/>
              </w:rPr>
              <w:t>要求及时履行持续督导</w:t>
            </w:r>
            <w:r>
              <w:rPr>
                <w:rFonts w:hint="eastAsia" w:ascii="Times New Roman" w:hAnsi="Times New Roman" w:eastAsia="仿宋"/>
                <w:bCs/>
                <w:kern w:val="0"/>
                <w:sz w:val="24"/>
                <w:szCs w:val="24"/>
              </w:rPr>
              <w:t>职责。</w:t>
            </w:r>
          </w:p>
        </w:tc>
        <w:tc>
          <w:tcPr>
            <w:tcW w:w="1701" w:type="dxa"/>
            <w:vAlign w:val="center"/>
          </w:tcPr>
          <w:p>
            <w:pPr>
              <w:widowControl/>
              <w:spacing w:line="300" w:lineRule="exact"/>
              <w:jc w:val="center"/>
              <w:rPr>
                <w:rFonts w:ascii="Times New Roman" w:hAnsi="Times New Roman" w:eastAsia="仿宋"/>
                <w:kern w:val="0"/>
                <w:sz w:val="24"/>
                <w:szCs w:val="24"/>
              </w:rPr>
            </w:pPr>
            <w:r>
              <w:rPr>
                <w:rFonts w:hint="eastAsia" w:ascii="Times New Roman" w:hAnsi="Times New Roman" w:eastAsia="仿宋"/>
                <w:kern w:val="0"/>
                <w:sz w:val="24"/>
                <w:szCs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47</w:t>
            </w:r>
          </w:p>
        </w:tc>
        <w:tc>
          <w:tcPr>
            <w:tcW w:w="851" w:type="dxa"/>
            <w:vMerge w:val="continue"/>
            <w:shd w:val="clear" w:color="auto" w:fill="auto"/>
            <w:vAlign w:val="center"/>
          </w:tcPr>
          <w:p>
            <w:pPr>
              <w:spacing w:line="300" w:lineRule="exact"/>
              <w:jc w:val="center"/>
              <w:rPr>
                <w:rFonts w:ascii="Times New Roman" w:hAnsi="Times New Roman" w:eastAsia="仿宋"/>
                <w:kern w:val="0"/>
                <w:sz w:val="24"/>
                <w:szCs w:val="24"/>
              </w:rPr>
            </w:pPr>
          </w:p>
        </w:tc>
        <w:tc>
          <w:tcPr>
            <w:tcW w:w="1701" w:type="dxa"/>
            <w:shd w:val="clear" w:color="auto" w:fill="auto"/>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kern w:val="0"/>
                <w:sz w:val="24"/>
                <w:szCs w:val="24"/>
              </w:rPr>
              <w:t>其他</w:t>
            </w:r>
          </w:p>
        </w:tc>
        <w:tc>
          <w:tcPr>
            <w:tcW w:w="4929" w:type="dxa"/>
            <w:shd w:val="clear" w:color="auto" w:fill="auto"/>
            <w:vAlign w:val="center"/>
          </w:tcPr>
          <w:p>
            <w:pPr>
              <w:widowControl/>
              <w:spacing w:line="300" w:lineRule="exact"/>
              <w:jc w:val="left"/>
              <w:rPr>
                <w:rFonts w:ascii="Times New Roman" w:hAnsi="Times New Roman" w:eastAsia="仿宋"/>
                <w:bCs/>
                <w:kern w:val="0"/>
                <w:sz w:val="24"/>
                <w:szCs w:val="24"/>
              </w:rPr>
            </w:pPr>
            <w:r>
              <w:rPr>
                <w:rFonts w:ascii="Times New Roman" w:hAnsi="Times New Roman" w:eastAsia="仿宋"/>
                <w:kern w:val="0"/>
                <w:sz w:val="24"/>
                <w:szCs w:val="24"/>
              </w:rPr>
              <w:t>其他发现的负面监管事项。</w:t>
            </w:r>
          </w:p>
        </w:tc>
        <w:tc>
          <w:tcPr>
            <w:tcW w:w="1701" w:type="dxa"/>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kern w:val="0"/>
                <w:sz w:val="24"/>
                <w:szCs w:val="24"/>
              </w:rPr>
              <w:t>0</w:t>
            </w:r>
            <w:r>
              <w:rPr>
                <w:rFonts w:ascii="Times New Roman" w:hAnsi="Times New Roman" w:eastAsia="仿宋"/>
                <w:kern w:val="0"/>
                <w:sz w:val="24"/>
                <w:szCs w:val="24"/>
              </w:rPr>
              <w:t>.5-1.5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48</w:t>
            </w:r>
          </w:p>
        </w:tc>
        <w:tc>
          <w:tcPr>
            <w:tcW w:w="851" w:type="dxa"/>
            <w:vMerge w:val="restart"/>
            <w:shd w:val="clear" w:color="auto" w:fill="auto"/>
            <w:vAlign w:val="center"/>
          </w:tcPr>
          <w:p>
            <w:pPr>
              <w:widowControl/>
              <w:spacing w:line="300" w:lineRule="exact"/>
              <w:jc w:val="center"/>
              <w:rPr>
                <w:rFonts w:ascii="Times New Roman" w:hAnsi="Times New Roman" w:eastAsia="仿宋"/>
                <w:kern w:val="0"/>
                <w:sz w:val="24"/>
                <w:szCs w:val="24"/>
              </w:rPr>
            </w:pPr>
            <w:r>
              <w:rPr>
                <w:rFonts w:hint="eastAsia" w:ascii="Times New Roman" w:hAnsi="Times New Roman" w:eastAsia="仿宋"/>
                <w:kern w:val="0"/>
                <w:sz w:val="24"/>
                <w:szCs w:val="24"/>
              </w:rPr>
              <w:t>持续</w:t>
            </w:r>
            <w:r>
              <w:rPr>
                <w:rFonts w:ascii="Times New Roman" w:hAnsi="Times New Roman" w:eastAsia="仿宋"/>
                <w:kern w:val="0"/>
                <w:sz w:val="24"/>
                <w:szCs w:val="24"/>
              </w:rPr>
              <w:t>督导</w:t>
            </w:r>
            <w:r>
              <w:rPr>
                <w:rFonts w:hint="eastAsia" w:ascii="Times New Roman" w:hAnsi="Times New Roman" w:eastAsia="仿宋"/>
                <w:kern w:val="0"/>
                <w:sz w:val="24"/>
                <w:szCs w:val="24"/>
              </w:rPr>
              <w:t>业务</w:t>
            </w:r>
            <w:r>
              <w:rPr>
                <w:rFonts w:ascii="Times New Roman" w:hAnsi="Times New Roman" w:eastAsia="仿宋"/>
                <w:kern w:val="0"/>
                <w:sz w:val="24"/>
                <w:szCs w:val="24"/>
              </w:rPr>
              <w:t>负面行为</w:t>
            </w:r>
          </w:p>
        </w:tc>
        <w:tc>
          <w:tcPr>
            <w:tcW w:w="1701" w:type="dxa"/>
            <w:vMerge w:val="restart"/>
            <w:vAlign w:val="center"/>
          </w:tcPr>
          <w:p>
            <w:pPr>
              <w:widowControl/>
              <w:spacing w:line="300" w:lineRule="exact"/>
              <w:jc w:val="center"/>
              <w:rPr>
                <w:rFonts w:ascii="Times New Roman" w:hAnsi="Times New Roman" w:eastAsia="仿宋"/>
                <w:kern w:val="0"/>
                <w:sz w:val="24"/>
                <w:szCs w:val="24"/>
              </w:rPr>
            </w:pPr>
            <w:r>
              <w:rPr>
                <w:rFonts w:ascii="Times New Roman" w:hAnsi="Times New Roman" w:eastAsia="仿宋"/>
                <w:kern w:val="0"/>
                <w:sz w:val="24"/>
                <w:szCs w:val="24"/>
              </w:rPr>
              <w:t>日常业务</w:t>
            </w:r>
          </w:p>
        </w:tc>
        <w:tc>
          <w:tcPr>
            <w:tcW w:w="4929" w:type="dxa"/>
            <w:shd w:val="clear" w:color="auto" w:fill="auto"/>
            <w:vAlign w:val="center"/>
          </w:tcPr>
          <w:p>
            <w:pPr>
              <w:widowControl/>
              <w:spacing w:line="300" w:lineRule="exact"/>
              <w:jc w:val="left"/>
              <w:rPr>
                <w:rFonts w:ascii="Times New Roman" w:hAnsi="Times New Roman" w:eastAsia="仿宋"/>
                <w:kern w:val="0"/>
                <w:sz w:val="24"/>
                <w:szCs w:val="24"/>
              </w:rPr>
            </w:pPr>
            <w:r>
              <w:rPr>
                <w:rFonts w:ascii="Times New Roman" w:hAnsi="Times New Roman" w:eastAsia="仿宋"/>
                <w:kern w:val="0"/>
                <w:sz w:val="24"/>
                <w:szCs w:val="24"/>
              </w:rPr>
              <w:t>日常业务未</w:t>
            </w:r>
            <w:r>
              <w:rPr>
                <w:rFonts w:hint="eastAsia" w:ascii="Times New Roman" w:hAnsi="Times New Roman" w:eastAsia="仿宋"/>
                <w:kern w:val="0"/>
                <w:sz w:val="24"/>
                <w:szCs w:val="24"/>
              </w:rPr>
              <w:t>严格</w:t>
            </w:r>
            <w:r>
              <w:rPr>
                <w:rFonts w:ascii="Times New Roman" w:hAnsi="Times New Roman" w:eastAsia="仿宋"/>
                <w:kern w:val="0"/>
                <w:sz w:val="24"/>
                <w:szCs w:val="24"/>
              </w:rPr>
              <w:t>按要求进行办理。</w:t>
            </w:r>
          </w:p>
        </w:tc>
        <w:tc>
          <w:tcPr>
            <w:tcW w:w="1701" w:type="dxa"/>
            <w:vAlign w:val="center"/>
          </w:tcPr>
          <w:p>
            <w:pPr>
              <w:widowControl/>
              <w:spacing w:line="300" w:lineRule="exact"/>
              <w:jc w:val="center"/>
              <w:rPr>
                <w:rFonts w:ascii="Times New Roman" w:hAnsi="Times New Roman" w:eastAsia="仿宋"/>
                <w:kern w:val="0"/>
                <w:sz w:val="24"/>
                <w:szCs w:val="24"/>
              </w:rPr>
            </w:pPr>
            <w:r>
              <w:rPr>
                <w:rFonts w:ascii="Times New Roman" w:hAnsi="Times New Roman" w:eastAsia="仿宋"/>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49</w:t>
            </w:r>
          </w:p>
        </w:tc>
        <w:tc>
          <w:tcPr>
            <w:tcW w:w="851" w:type="dxa"/>
            <w:vMerge w:val="continue"/>
            <w:shd w:val="clear" w:color="auto" w:fill="auto"/>
            <w:vAlign w:val="center"/>
          </w:tcPr>
          <w:p>
            <w:pPr>
              <w:widowControl/>
              <w:spacing w:line="300" w:lineRule="exact"/>
              <w:jc w:val="center"/>
              <w:rPr>
                <w:rFonts w:ascii="Times New Roman" w:hAnsi="Times New Roman" w:eastAsia="仿宋"/>
                <w:kern w:val="0"/>
                <w:sz w:val="24"/>
                <w:szCs w:val="24"/>
              </w:rPr>
            </w:pPr>
          </w:p>
        </w:tc>
        <w:tc>
          <w:tcPr>
            <w:tcW w:w="1701" w:type="dxa"/>
            <w:vMerge w:val="continue"/>
            <w:vAlign w:val="center"/>
          </w:tcPr>
          <w:p>
            <w:pPr>
              <w:widowControl/>
              <w:spacing w:line="300" w:lineRule="exact"/>
              <w:jc w:val="center"/>
              <w:rPr>
                <w:rFonts w:ascii="Times New Roman" w:hAnsi="Times New Roman" w:eastAsia="仿宋"/>
                <w:kern w:val="0"/>
                <w:sz w:val="24"/>
                <w:szCs w:val="24"/>
              </w:rPr>
            </w:pPr>
          </w:p>
        </w:tc>
        <w:tc>
          <w:tcPr>
            <w:tcW w:w="4929" w:type="dxa"/>
            <w:shd w:val="clear" w:color="auto" w:fill="auto"/>
            <w:vAlign w:val="center"/>
          </w:tcPr>
          <w:p>
            <w:pPr>
              <w:widowControl/>
              <w:spacing w:line="300" w:lineRule="exact"/>
              <w:jc w:val="left"/>
              <w:rPr>
                <w:rFonts w:ascii="Times New Roman" w:hAnsi="Times New Roman" w:eastAsia="仿宋"/>
                <w:kern w:val="0"/>
                <w:sz w:val="24"/>
                <w:szCs w:val="24"/>
              </w:rPr>
            </w:pPr>
            <w:r>
              <w:rPr>
                <w:rFonts w:hint="eastAsia" w:ascii="Times New Roman" w:hAnsi="Times New Roman" w:eastAsia="仿宋"/>
                <w:bCs/>
                <w:kern w:val="0"/>
                <w:sz w:val="24"/>
                <w:szCs w:val="24"/>
              </w:rPr>
              <w:t>报送的挂牌公司董事、监事或高级管理人员信息有误。</w:t>
            </w:r>
          </w:p>
        </w:tc>
        <w:tc>
          <w:tcPr>
            <w:tcW w:w="1701" w:type="dxa"/>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lang w:val="en"/>
              </w:rPr>
              <w:t>5</w:t>
            </w:r>
            <w:r>
              <w:rPr>
                <w:rFonts w:hint="eastAsia" w:ascii="Times New Roman" w:hAnsi="Times New Roman" w:eastAsia="仿宋"/>
                <w:bCs/>
                <w:kern w:val="0"/>
                <w:sz w:val="24"/>
                <w:szCs w:val="24"/>
              </w:rPr>
              <w:t>0</w:t>
            </w:r>
          </w:p>
        </w:tc>
        <w:tc>
          <w:tcPr>
            <w:tcW w:w="851" w:type="dxa"/>
            <w:vMerge w:val="continue"/>
            <w:vAlign w:val="center"/>
          </w:tcPr>
          <w:p>
            <w:pPr>
              <w:widowControl/>
              <w:spacing w:line="300" w:lineRule="exact"/>
              <w:jc w:val="center"/>
              <w:rPr>
                <w:rFonts w:ascii="Times New Roman" w:hAnsi="Times New Roman" w:eastAsia="仿宋"/>
                <w:kern w:val="0"/>
                <w:sz w:val="24"/>
                <w:szCs w:val="24"/>
              </w:rPr>
            </w:pPr>
          </w:p>
        </w:tc>
        <w:tc>
          <w:tcPr>
            <w:tcW w:w="1701" w:type="dxa"/>
            <w:vMerge w:val="continue"/>
            <w:vAlign w:val="center"/>
          </w:tcPr>
          <w:p>
            <w:pPr>
              <w:widowControl/>
              <w:spacing w:line="300" w:lineRule="exact"/>
              <w:jc w:val="center"/>
              <w:rPr>
                <w:rFonts w:ascii="Times New Roman" w:hAnsi="Times New Roman" w:eastAsia="仿宋"/>
                <w:kern w:val="0"/>
                <w:sz w:val="24"/>
                <w:szCs w:val="24"/>
              </w:rPr>
            </w:pPr>
          </w:p>
        </w:tc>
        <w:tc>
          <w:tcPr>
            <w:tcW w:w="4929" w:type="dxa"/>
            <w:shd w:val="clear" w:color="auto" w:fill="auto"/>
            <w:vAlign w:val="center"/>
          </w:tcPr>
          <w:p>
            <w:pPr>
              <w:widowControl/>
              <w:spacing w:line="300" w:lineRule="exact"/>
              <w:jc w:val="left"/>
              <w:rPr>
                <w:rFonts w:ascii="Times New Roman" w:hAnsi="Times New Roman" w:eastAsia="仿宋"/>
                <w:bCs/>
                <w:kern w:val="0"/>
                <w:sz w:val="24"/>
                <w:szCs w:val="24"/>
              </w:rPr>
            </w:pPr>
            <w:r>
              <w:rPr>
                <w:rFonts w:ascii="Times New Roman" w:hAnsi="Times New Roman" w:eastAsia="仿宋"/>
                <w:bCs/>
                <w:kern w:val="0"/>
                <w:sz w:val="24"/>
                <w:szCs w:val="24"/>
              </w:rPr>
              <w:t>未按要求及时、准确提交定期报告事前审查表。</w:t>
            </w:r>
          </w:p>
        </w:tc>
        <w:tc>
          <w:tcPr>
            <w:tcW w:w="1701" w:type="dxa"/>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lang w:val="en"/>
              </w:rPr>
              <w:t>5</w:t>
            </w:r>
            <w:r>
              <w:rPr>
                <w:rFonts w:hint="eastAsia" w:ascii="Times New Roman" w:hAnsi="Times New Roman" w:eastAsia="仿宋"/>
                <w:bCs/>
                <w:kern w:val="0"/>
                <w:sz w:val="24"/>
                <w:szCs w:val="24"/>
              </w:rPr>
              <w:t>1</w:t>
            </w:r>
          </w:p>
        </w:tc>
        <w:tc>
          <w:tcPr>
            <w:tcW w:w="851" w:type="dxa"/>
            <w:vMerge w:val="continue"/>
            <w:vAlign w:val="center"/>
          </w:tcPr>
          <w:p>
            <w:pPr>
              <w:widowControl/>
              <w:spacing w:line="300" w:lineRule="exact"/>
              <w:jc w:val="center"/>
              <w:rPr>
                <w:rFonts w:ascii="Times New Roman" w:hAnsi="Times New Roman" w:eastAsia="仿宋"/>
                <w:kern w:val="0"/>
                <w:sz w:val="24"/>
                <w:szCs w:val="24"/>
              </w:rPr>
            </w:pPr>
          </w:p>
        </w:tc>
        <w:tc>
          <w:tcPr>
            <w:tcW w:w="1701" w:type="dxa"/>
            <w:vMerge w:val="continue"/>
            <w:vAlign w:val="center"/>
          </w:tcPr>
          <w:p>
            <w:pPr>
              <w:widowControl/>
              <w:spacing w:line="300" w:lineRule="exact"/>
              <w:jc w:val="center"/>
              <w:rPr>
                <w:rFonts w:ascii="Times New Roman" w:hAnsi="Times New Roman" w:eastAsia="仿宋"/>
                <w:kern w:val="0"/>
                <w:sz w:val="24"/>
                <w:szCs w:val="24"/>
              </w:rPr>
            </w:pPr>
          </w:p>
        </w:tc>
        <w:tc>
          <w:tcPr>
            <w:tcW w:w="4929" w:type="dxa"/>
            <w:shd w:val="clear" w:color="auto" w:fill="auto"/>
            <w:vAlign w:val="center"/>
          </w:tcPr>
          <w:p>
            <w:pPr>
              <w:widowControl/>
              <w:spacing w:line="300" w:lineRule="exact"/>
              <w:jc w:val="left"/>
              <w:rPr>
                <w:rFonts w:ascii="Times New Roman" w:hAnsi="Times New Roman" w:eastAsia="仿宋"/>
                <w:bCs/>
                <w:kern w:val="0"/>
                <w:sz w:val="24"/>
                <w:szCs w:val="24"/>
              </w:rPr>
            </w:pPr>
            <w:r>
              <w:rPr>
                <w:rFonts w:ascii="Times New Roman" w:hAnsi="Times New Roman" w:eastAsia="仿宋"/>
                <w:bCs/>
                <w:kern w:val="0"/>
                <w:sz w:val="24"/>
                <w:szCs w:val="24"/>
              </w:rPr>
              <w:t>信息披露文件应更正/补发但未通过BPM系统的更正/补发通道，或应线下更正/补发但未通过线下更正/补发通道。</w:t>
            </w:r>
          </w:p>
        </w:tc>
        <w:tc>
          <w:tcPr>
            <w:tcW w:w="1701" w:type="dxa"/>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52</w:t>
            </w:r>
          </w:p>
        </w:tc>
        <w:tc>
          <w:tcPr>
            <w:tcW w:w="851" w:type="dxa"/>
            <w:vMerge w:val="continue"/>
            <w:vAlign w:val="center"/>
          </w:tcPr>
          <w:p>
            <w:pPr>
              <w:widowControl/>
              <w:spacing w:line="300" w:lineRule="exact"/>
              <w:jc w:val="center"/>
              <w:rPr>
                <w:rFonts w:ascii="Times New Roman" w:hAnsi="Times New Roman" w:eastAsia="仿宋"/>
                <w:kern w:val="0"/>
                <w:sz w:val="24"/>
                <w:szCs w:val="24"/>
              </w:rPr>
            </w:pPr>
          </w:p>
        </w:tc>
        <w:tc>
          <w:tcPr>
            <w:tcW w:w="1701" w:type="dxa"/>
            <w:vMerge w:val="continue"/>
            <w:vAlign w:val="center"/>
          </w:tcPr>
          <w:p>
            <w:pPr>
              <w:widowControl/>
              <w:spacing w:line="300" w:lineRule="exact"/>
              <w:jc w:val="center"/>
              <w:rPr>
                <w:rFonts w:ascii="Times New Roman" w:hAnsi="Times New Roman" w:eastAsia="仿宋"/>
                <w:kern w:val="0"/>
                <w:sz w:val="24"/>
                <w:szCs w:val="24"/>
              </w:rPr>
            </w:pPr>
          </w:p>
        </w:tc>
        <w:tc>
          <w:tcPr>
            <w:tcW w:w="4929" w:type="dxa"/>
            <w:shd w:val="clear" w:color="auto" w:fill="auto"/>
            <w:vAlign w:val="center"/>
          </w:tcPr>
          <w:p>
            <w:pPr>
              <w:widowControl/>
              <w:spacing w:line="300" w:lineRule="exact"/>
              <w:jc w:val="left"/>
              <w:rPr>
                <w:rFonts w:ascii="Times New Roman" w:hAnsi="Times New Roman" w:eastAsia="仿宋"/>
                <w:bCs/>
                <w:kern w:val="0"/>
                <w:sz w:val="24"/>
                <w:szCs w:val="24"/>
              </w:rPr>
            </w:pPr>
            <w:r>
              <w:rPr>
                <w:rFonts w:hint="eastAsia" w:ascii="Times New Roman" w:hAnsi="Times New Roman" w:eastAsia="仿宋"/>
                <w:kern w:val="0"/>
                <w:sz w:val="24"/>
                <w:szCs w:val="24"/>
              </w:rPr>
              <w:t>信息披露文件上传错误，</w:t>
            </w:r>
            <w:r>
              <w:rPr>
                <w:rFonts w:ascii="Times New Roman" w:hAnsi="Times New Roman" w:eastAsia="仿宋"/>
                <w:kern w:val="0"/>
                <w:sz w:val="24"/>
                <w:szCs w:val="24"/>
              </w:rPr>
              <w:t>或</w:t>
            </w:r>
            <w:r>
              <w:rPr>
                <w:rFonts w:hint="eastAsia" w:ascii="Times New Roman" w:hAnsi="Times New Roman" w:eastAsia="仿宋"/>
                <w:bCs/>
                <w:kern w:val="0"/>
                <w:sz w:val="24"/>
                <w:szCs w:val="24"/>
              </w:rPr>
              <w:t>文件内容存在错漏。</w:t>
            </w:r>
          </w:p>
        </w:tc>
        <w:tc>
          <w:tcPr>
            <w:tcW w:w="1701" w:type="dxa"/>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53</w:t>
            </w:r>
          </w:p>
        </w:tc>
        <w:tc>
          <w:tcPr>
            <w:tcW w:w="851" w:type="dxa"/>
            <w:vMerge w:val="continue"/>
            <w:vAlign w:val="center"/>
          </w:tcPr>
          <w:p>
            <w:pPr>
              <w:widowControl/>
              <w:spacing w:line="300" w:lineRule="exact"/>
              <w:jc w:val="center"/>
              <w:rPr>
                <w:rFonts w:ascii="Times New Roman" w:hAnsi="Times New Roman" w:eastAsia="仿宋"/>
                <w:kern w:val="0"/>
                <w:sz w:val="24"/>
                <w:szCs w:val="24"/>
              </w:rPr>
            </w:pPr>
          </w:p>
        </w:tc>
        <w:tc>
          <w:tcPr>
            <w:tcW w:w="1701" w:type="dxa"/>
            <w:vMerge w:val="restart"/>
            <w:vAlign w:val="center"/>
          </w:tcPr>
          <w:p>
            <w:pPr>
              <w:widowControl/>
              <w:spacing w:line="300" w:lineRule="exact"/>
              <w:jc w:val="center"/>
              <w:rPr>
                <w:rFonts w:ascii="Times New Roman" w:hAnsi="Times New Roman" w:eastAsia="仿宋"/>
                <w:kern w:val="0"/>
                <w:sz w:val="24"/>
                <w:szCs w:val="24"/>
              </w:rPr>
            </w:pPr>
            <w:r>
              <w:rPr>
                <w:rFonts w:hint="eastAsia" w:ascii="Times New Roman" w:hAnsi="Times New Roman" w:eastAsia="仿宋"/>
                <w:kern w:val="0"/>
                <w:sz w:val="24"/>
                <w:szCs w:val="24"/>
              </w:rPr>
              <w:t>配合监管工作</w:t>
            </w:r>
          </w:p>
        </w:tc>
        <w:tc>
          <w:tcPr>
            <w:tcW w:w="4929" w:type="dxa"/>
            <w:shd w:val="clear" w:color="auto" w:fill="auto"/>
            <w:vAlign w:val="center"/>
          </w:tcPr>
          <w:p>
            <w:pPr>
              <w:widowControl/>
              <w:spacing w:line="300" w:lineRule="exact"/>
              <w:jc w:val="left"/>
              <w:rPr>
                <w:rFonts w:ascii="Times New Roman" w:hAnsi="Times New Roman" w:eastAsia="仿宋"/>
                <w:bCs/>
                <w:kern w:val="0"/>
                <w:sz w:val="24"/>
                <w:szCs w:val="24"/>
              </w:rPr>
            </w:pPr>
            <w:r>
              <w:rPr>
                <w:rFonts w:hint="eastAsia" w:ascii="Times New Roman" w:hAnsi="Times New Roman" w:eastAsia="仿宋"/>
                <w:bCs/>
                <w:kern w:val="0"/>
                <w:sz w:val="24"/>
                <w:szCs w:val="24"/>
              </w:rPr>
              <w:t>对要求证券公司配合提交相关情况说明的事项，未及时回复或回复中存在错漏。</w:t>
            </w:r>
          </w:p>
        </w:tc>
        <w:tc>
          <w:tcPr>
            <w:tcW w:w="1701" w:type="dxa"/>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54</w:t>
            </w:r>
          </w:p>
        </w:tc>
        <w:tc>
          <w:tcPr>
            <w:tcW w:w="851" w:type="dxa"/>
            <w:vMerge w:val="continue"/>
            <w:vAlign w:val="center"/>
          </w:tcPr>
          <w:p>
            <w:pPr>
              <w:widowControl/>
              <w:spacing w:line="300" w:lineRule="exact"/>
              <w:jc w:val="center"/>
              <w:rPr>
                <w:rFonts w:ascii="Times New Roman" w:hAnsi="Times New Roman" w:eastAsia="仿宋"/>
                <w:kern w:val="0"/>
                <w:sz w:val="24"/>
                <w:szCs w:val="24"/>
              </w:rPr>
            </w:pPr>
          </w:p>
        </w:tc>
        <w:tc>
          <w:tcPr>
            <w:tcW w:w="1701" w:type="dxa"/>
            <w:vMerge w:val="continue"/>
            <w:vAlign w:val="center"/>
          </w:tcPr>
          <w:p>
            <w:pPr>
              <w:widowControl/>
              <w:spacing w:line="300" w:lineRule="exact"/>
              <w:jc w:val="center"/>
              <w:rPr>
                <w:rFonts w:ascii="Times New Roman" w:hAnsi="Times New Roman" w:eastAsia="仿宋"/>
                <w:kern w:val="0"/>
                <w:sz w:val="24"/>
                <w:szCs w:val="24"/>
              </w:rPr>
            </w:pPr>
          </w:p>
        </w:tc>
        <w:tc>
          <w:tcPr>
            <w:tcW w:w="4929" w:type="dxa"/>
            <w:shd w:val="clear" w:color="auto" w:fill="auto"/>
            <w:vAlign w:val="center"/>
          </w:tcPr>
          <w:p>
            <w:pPr>
              <w:widowControl/>
              <w:spacing w:line="300" w:lineRule="exact"/>
              <w:jc w:val="left"/>
              <w:rPr>
                <w:rFonts w:ascii="Times New Roman" w:hAnsi="Times New Roman" w:eastAsia="仿宋"/>
                <w:bCs/>
                <w:kern w:val="0"/>
                <w:sz w:val="24"/>
                <w:szCs w:val="24"/>
              </w:rPr>
            </w:pPr>
            <w:r>
              <w:rPr>
                <w:rFonts w:hint="eastAsia" w:ascii="Times New Roman" w:hAnsi="Times New Roman" w:eastAsia="仿宋"/>
                <w:bCs/>
                <w:kern w:val="0"/>
                <w:sz w:val="24"/>
                <w:szCs w:val="24"/>
              </w:rPr>
              <w:t>未及时将公告审查意见转达至挂牌公司及相关主体，或未及时将挂牌公司及相关主体对审查意见的反馈回复上传至</w:t>
            </w:r>
            <w:r>
              <w:rPr>
                <w:rFonts w:ascii="Times New Roman" w:hAnsi="Times New Roman" w:eastAsia="仿宋"/>
                <w:bCs/>
                <w:kern w:val="0"/>
                <w:sz w:val="24"/>
                <w:szCs w:val="24"/>
              </w:rPr>
              <w:t>BPM</w:t>
            </w:r>
            <w:r>
              <w:rPr>
                <w:rFonts w:hint="eastAsia" w:ascii="Times New Roman" w:hAnsi="Times New Roman" w:eastAsia="仿宋"/>
                <w:bCs/>
                <w:kern w:val="0"/>
                <w:sz w:val="24"/>
                <w:szCs w:val="24"/>
              </w:rPr>
              <w:t>系统。</w:t>
            </w:r>
          </w:p>
        </w:tc>
        <w:tc>
          <w:tcPr>
            <w:tcW w:w="1701" w:type="dxa"/>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55</w:t>
            </w:r>
          </w:p>
        </w:tc>
        <w:tc>
          <w:tcPr>
            <w:tcW w:w="851" w:type="dxa"/>
            <w:vMerge w:val="continue"/>
            <w:vAlign w:val="center"/>
          </w:tcPr>
          <w:p>
            <w:pPr>
              <w:widowControl/>
              <w:spacing w:line="300" w:lineRule="exact"/>
              <w:jc w:val="center"/>
              <w:rPr>
                <w:rFonts w:ascii="Times New Roman" w:hAnsi="Times New Roman" w:eastAsia="仿宋"/>
                <w:kern w:val="0"/>
                <w:sz w:val="24"/>
                <w:szCs w:val="24"/>
              </w:rPr>
            </w:pPr>
          </w:p>
        </w:tc>
        <w:tc>
          <w:tcPr>
            <w:tcW w:w="1701" w:type="dxa"/>
            <w:vMerge w:val="continue"/>
            <w:vAlign w:val="center"/>
          </w:tcPr>
          <w:p>
            <w:pPr>
              <w:widowControl/>
              <w:spacing w:line="300" w:lineRule="exact"/>
              <w:jc w:val="center"/>
              <w:rPr>
                <w:rFonts w:ascii="Times New Roman" w:hAnsi="Times New Roman" w:eastAsia="仿宋"/>
                <w:kern w:val="0"/>
                <w:sz w:val="24"/>
                <w:szCs w:val="24"/>
              </w:rPr>
            </w:pPr>
          </w:p>
        </w:tc>
        <w:tc>
          <w:tcPr>
            <w:tcW w:w="4929" w:type="dxa"/>
            <w:shd w:val="clear" w:color="auto" w:fill="auto"/>
            <w:vAlign w:val="center"/>
          </w:tcPr>
          <w:p>
            <w:pPr>
              <w:widowControl/>
              <w:spacing w:line="300" w:lineRule="exact"/>
              <w:jc w:val="left"/>
              <w:rPr>
                <w:rFonts w:ascii="Times New Roman" w:hAnsi="Times New Roman" w:eastAsia="仿宋"/>
                <w:bCs/>
                <w:kern w:val="0"/>
                <w:sz w:val="24"/>
                <w:szCs w:val="24"/>
              </w:rPr>
            </w:pPr>
            <w:r>
              <w:rPr>
                <w:rFonts w:hint="eastAsia" w:ascii="Times New Roman" w:hAnsi="Times New Roman" w:eastAsia="仿宋"/>
                <w:bCs/>
                <w:kern w:val="0"/>
                <w:sz w:val="24"/>
                <w:szCs w:val="24"/>
              </w:rPr>
              <w:t>因持续督导</w:t>
            </w:r>
            <w:r>
              <w:rPr>
                <w:rFonts w:ascii="Times New Roman" w:hAnsi="Times New Roman" w:eastAsia="仿宋"/>
                <w:bCs/>
                <w:kern w:val="0"/>
                <w:sz w:val="24"/>
                <w:szCs w:val="24"/>
              </w:rPr>
              <w:t>期间未勤勉尽责，</w:t>
            </w:r>
            <w:r>
              <w:rPr>
                <w:rFonts w:hint="eastAsia" w:ascii="Times New Roman" w:hAnsi="Times New Roman" w:eastAsia="仿宋"/>
                <w:bCs/>
                <w:kern w:val="0"/>
                <w:sz w:val="24"/>
                <w:szCs w:val="24"/>
              </w:rPr>
              <w:t>履职不力被出具监管工作提示。</w:t>
            </w:r>
          </w:p>
        </w:tc>
        <w:tc>
          <w:tcPr>
            <w:tcW w:w="1701" w:type="dxa"/>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56</w:t>
            </w:r>
          </w:p>
        </w:tc>
        <w:tc>
          <w:tcPr>
            <w:tcW w:w="851" w:type="dxa"/>
            <w:vMerge w:val="continue"/>
            <w:vAlign w:val="center"/>
          </w:tcPr>
          <w:p>
            <w:pPr>
              <w:widowControl/>
              <w:spacing w:line="300" w:lineRule="exact"/>
              <w:jc w:val="center"/>
              <w:rPr>
                <w:rFonts w:ascii="Times New Roman" w:hAnsi="Times New Roman" w:eastAsia="仿宋"/>
                <w:kern w:val="0"/>
                <w:sz w:val="24"/>
                <w:szCs w:val="24"/>
              </w:rPr>
            </w:pPr>
          </w:p>
        </w:tc>
        <w:tc>
          <w:tcPr>
            <w:tcW w:w="1701" w:type="dxa"/>
            <w:shd w:val="clear" w:color="auto" w:fill="auto"/>
            <w:vAlign w:val="center"/>
          </w:tcPr>
          <w:p>
            <w:pPr>
              <w:spacing w:line="300" w:lineRule="exact"/>
              <w:jc w:val="center"/>
              <w:rPr>
                <w:rFonts w:ascii="Times New Roman" w:hAnsi="Times New Roman" w:eastAsia="仿宋"/>
                <w:kern w:val="0"/>
                <w:sz w:val="24"/>
                <w:szCs w:val="24"/>
              </w:rPr>
            </w:pPr>
            <w:r>
              <w:rPr>
                <w:rFonts w:ascii="Times New Roman" w:hAnsi="Times New Roman" w:eastAsia="仿宋"/>
                <w:kern w:val="0"/>
                <w:sz w:val="24"/>
                <w:szCs w:val="24"/>
              </w:rPr>
              <w:t>其他</w:t>
            </w:r>
          </w:p>
        </w:tc>
        <w:tc>
          <w:tcPr>
            <w:tcW w:w="4929" w:type="dxa"/>
            <w:shd w:val="clear" w:color="auto" w:fill="auto"/>
            <w:vAlign w:val="center"/>
          </w:tcPr>
          <w:p>
            <w:pPr>
              <w:widowControl/>
              <w:spacing w:line="300" w:lineRule="exact"/>
              <w:jc w:val="left"/>
              <w:rPr>
                <w:rFonts w:ascii="Times New Roman" w:hAnsi="Times New Roman" w:eastAsia="仿宋"/>
                <w:kern w:val="0"/>
                <w:sz w:val="24"/>
                <w:szCs w:val="24"/>
              </w:rPr>
            </w:pPr>
            <w:r>
              <w:rPr>
                <w:rFonts w:ascii="Times New Roman" w:hAnsi="Times New Roman" w:eastAsia="仿宋"/>
                <w:kern w:val="0"/>
                <w:sz w:val="24"/>
                <w:szCs w:val="24"/>
              </w:rPr>
              <w:t>其他发现的负面监管事项。</w:t>
            </w:r>
          </w:p>
        </w:tc>
        <w:tc>
          <w:tcPr>
            <w:tcW w:w="1701" w:type="dxa"/>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kern w:val="0"/>
                <w:sz w:val="24"/>
                <w:szCs w:val="24"/>
              </w:rPr>
              <w:t>0.5~1.5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57</w:t>
            </w:r>
          </w:p>
        </w:tc>
        <w:tc>
          <w:tcPr>
            <w:tcW w:w="851" w:type="dxa"/>
            <w:vMerge w:val="restart"/>
            <w:vAlign w:val="center"/>
          </w:tcPr>
          <w:p>
            <w:pPr>
              <w:widowControl/>
              <w:spacing w:line="300" w:lineRule="exact"/>
              <w:jc w:val="center"/>
              <w:rPr>
                <w:rFonts w:ascii="Times New Roman" w:hAnsi="Times New Roman" w:eastAsia="仿宋"/>
                <w:kern w:val="0"/>
                <w:sz w:val="24"/>
                <w:szCs w:val="24"/>
              </w:rPr>
            </w:pPr>
            <w:r>
              <w:rPr>
                <w:rFonts w:hint="eastAsia" w:ascii="Times New Roman" w:hAnsi="Times New Roman" w:eastAsia="仿宋"/>
                <w:kern w:val="0"/>
                <w:sz w:val="24"/>
                <w:szCs w:val="24"/>
              </w:rPr>
              <w:t>做市业务</w:t>
            </w:r>
            <w:r>
              <w:rPr>
                <w:rFonts w:ascii="Times New Roman" w:hAnsi="Times New Roman" w:eastAsia="仿宋"/>
                <w:kern w:val="0"/>
                <w:sz w:val="24"/>
                <w:szCs w:val="24"/>
              </w:rPr>
              <w:t>负面行为</w:t>
            </w:r>
          </w:p>
        </w:tc>
        <w:tc>
          <w:tcPr>
            <w:tcW w:w="1701" w:type="dxa"/>
            <w:vMerge w:val="restart"/>
            <w:shd w:val="clear" w:color="auto" w:fill="auto"/>
            <w:vAlign w:val="center"/>
          </w:tcPr>
          <w:p>
            <w:pPr>
              <w:widowControl/>
              <w:spacing w:line="300" w:lineRule="exact"/>
              <w:jc w:val="center"/>
              <w:rPr>
                <w:rFonts w:ascii="Times New Roman" w:hAnsi="Times New Roman" w:eastAsia="仿宋"/>
                <w:kern w:val="0"/>
                <w:sz w:val="24"/>
                <w:szCs w:val="24"/>
              </w:rPr>
            </w:pPr>
            <w:r>
              <w:rPr>
                <w:rFonts w:hint="eastAsia" w:ascii="Times New Roman" w:hAnsi="Times New Roman" w:eastAsia="仿宋"/>
                <w:kern w:val="0"/>
                <w:sz w:val="24"/>
                <w:szCs w:val="24"/>
              </w:rPr>
              <w:t>做市交易</w:t>
            </w:r>
          </w:p>
        </w:tc>
        <w:tc>
          <w:tcPr>
            <w:tcW w:w="4929" w:type="dxa"/>
            <w:shd w:val="clear" w:color="auto" w:fill="auto"/>
            <w:vAlign w:val="center"/>
          </w:tcPr>
          <w:p>
            <w:pPr>
              <w:widowControl/>
              <w:spacing w:line="300" w:lineRule="exact"/>
              <w:jc w:val="left"/>
              <w:rPr>
                <w:rFonts w:ascii="Times New Roman" w:hAnsi="Times New Roman" w:eastAsia="仿宋"/>
                <w:bCs/>
                <w:kern w:val="0"/>
                <w:sz w:val="24"/>
                <w:szCs w:val="24"/>
              </w:rPr>
            </w:pPr>
            <w:r>
              <w:rPr>
                <w:rFonts w:hint="eastAsia" w:ascii="Times New Roman" w:hAnsi="Times New Roman" w:eastAsia="仿宋" w:cs="Times New Roman"/>
                <w:bCs/>
                <w:kern w:val="0"/>
                <w:sz w:val="24"/>
                <w:szCs w:val="24"/>
              </w:rPr>
              <w:t>做市商未于9:30前发布该股票买卖双向报价。</w:t>
            </w:r>
          </w:p>
        </w:tc>
        <w:tc>
          <w:tcPr>
            <w:tcW w:w="1701" w:type="dxa"/>
            <w:vMerge w:val="restart"/>
            <w:vAlign w:val="center"/>
          </w:tcPr>
          <w:p>
            <w:pPr>
              <w:widowControl/>
              <w:spacing w:line="300" w:lineRule="exact"/>
              <w:jc w:val="center"/>
              <w:rPr>
                <w:rFonts w:ascii="Times New Roman" w:hAnsi="Times New Roman" w:eastAsia="仿宋"/>
                <w:kern w:val="0"/>
                <w:sz w:val="24"/>
                <w:szCs w:val="24"/>
              </w:rPr>
            </w:pPr>
            <w:r>
              <w:rPr>
                <w:rFonts w:hint="eastAsia" w:ascii="Times New Roman" w:hAnsi="Times New Roman" w:eastAsia="仿宋"/>
                <w:kern w:val="0"/>
                <w:sz w:val="24"/>
                <w:szCs w:val="24"/>
              </w:rPr>
              <w:t>按照《全国中小企业股份转让系统做市商评价指引（试行）》的扣分值</w:t>
            </w:r>
            <w:r>
              <w:rPr>
                <w:rFonts w:ascii="Times New Roman" w:hAnsi="Times New Roman" w:eastAsia="仿宋"/>
                <w:kern w:val="0"/>
                <w:sz w:val="24"/>
                <w:szCs w:val="24"/>
              </w:rPr>
              <w:t>确定情节调整系数</w:t>
            </w:r>
            <w:r>
              <w:rPr>
                <w:rFonts w:hint="eastAsia" w:ascii="Times New Roman" w:hAnsi="Times New Roman" w:eastAsia="仿宋"/>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58</w:t>
            </w:r>
          </w:p>
        </w:tc>
        <w:tc>
          <w:tcPr>
            <w:tcW w:w="851" w:type="dxa"/>
            <w:vMerge w:val="continue"/>
            <w:vAlign w:val="center"/>
          </w:tcPr>
          <w:p>
            <w:pPr>
              <w:widowControl/>
              <w:spacing w:line="300" w:lineRule="exact"/>
              <w:jc w:val="center"/>
              <w:rPr>
                <w:rFonts w:ascii="Times New Roman" w:hAnsi="Times New Roman" w:eastAsia="仿宋"/>
                <w:kern w:val="0"/>
                <w:sz w:val="24"/>
                <w:szCs w:val="24"/>
              </w:rPr>
            </w:pPr>
          </w:p>
        </w:tc>
        <w:tc>
          <w:tcPr>
            <w:tcW w:w="1701" w:type="dxa"/>
            <w:vMerge w:val="continue"/>
            <w:shd w:val="clear" w:color="auto" w:fill="auto"/>
            <w:vAlign w:val="center"/>
          </w:tcPr>
          <w:p>
            <w:pPr>
              <w:widowControl/>
              <w:spacing w:line="300" w:lineRule="exact"/>
              <w:jc w:val="center"/>
              <w:rPr>
                <w:rFonts w:ascii="Times New Roman" w:hAnsi="Times New Roman" w:eastAsia="仿宋"/>
                <w:kern w:val="0"/>
                <w:sz w:val="24"/>
                <w:szCs w:val="24"/>
              </w:rPr>
            </w:pPr>
          </w:p>
        </w:tc>
        <w:tc>
          <w:tcPr>
            <w:tcW w:w="4929" w:type="dxa"/>
            <w:shd w:val="clear" w:color="auto" w:fill="auto"/>
            <w:vAlign w:val="center"/>
          </w:tcPr>
          <w:p>
            <w:pPr>
              <w:widowControl/>
              <w:spacing w:line="300" w:lineRule="exact"/>
              <w:jc w:val="left"/>
              <w:rPr>
                <w:rFonts w:ascii="Times New Roman" w:hAnsi="Times New Roman" w:eastAsia="仿宋"/>
                <w:bCs/>
                <w:kern w:val="0"/>
                <w:sz w:val="24"/>
                <w:szCs w:val="24"/>
              </w:rPr>
            </w:pPr>
            <w:r>
              <w:rPr>
                <w:rFonts w:hint="eastAsia" w:ascii="Times New Roman" w:hAnsi="Times New Roman" w:eastAsia="仿宋" w:cs="Times New Roman"/>
                <w:bCs/>
                <w:kern w:val="0"/>
                <w:sz w:val="24"/>
                <w:szCs w:val="24"/>
              </w:rPr>
              <w:t>做市商前次做市申报撤销或其申报数量经成交后不足100股的，未于5分钟内重新报价。</w:t>
            </w:r>
          </w:p>
        </w:tc>
        <w:tc>
          <w:tcPr>
            <w:tcW w:w="1701" w:type="dxa"/>
            <w:vMerge w:val="continue"/>
          </w:tcPr>
          <w:p>
            <w:pPr>
              <w:spacing w:line="300" w:lineRule="exact"/>
              <w:jc w:val="center"/>
              <w:rPr>
                <w:rFonts w:ascii="Times New Roman" w:hAnsi="Times New Roman"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59</w:t>
            </w:r>
          </w:p>
        </w:tc>
        <w:tc>
          <w:tcPr>
            <w:tcW w:w="851" w:type="dxa"/>
            <w:vMerge w:val="continue"/>
            <w:vAlign w:val="center"/>
          </w:tcPr>
          <w:p>
            <w:pPr>
              <w:widowControl/>
              <w:spacing w:line="300" w:lineRule="exact"/>
              <w:jc w:val="center"/>
              <w:rPr>
                <w:rFonts w:ascii="Times New Roman" w:hAnsi="Times New Roman" w:eastAsia="仿宋"/>
                <w:kern w:val="0"/>
                <w:sz w:val="24"/>
                <w:szCs w:val="24"/>
              </w:rPr>
            </w:pPr>
          </w:p>
        </w:tc>
        <w:tc>
          <w:tcPr>
            <w:tcW w:w="1701" w:type="dxa"/>
            <w:vMerge w:val="continue"/>
            <w:shd w:val="clear" w:color="auto" w:fill="auto"/>
            <w:vAlign w:val="center"/>
          </w:tcPr>
          <w:p>
            <w:pPr>
              <w:widowControl/>
              <w:spacing w:line="300" w:lineRule="exact"/>
              <w:jc w:val="center"/>
              <w:rPr>
                <w:rFonts w:ascii="Times New Roman" w:hAnsi="Times New Roman" w:eastAsia="仿宋"/>
                <w:kern w:val="0"/>
                <w:sz w:val="24"/>
                <w:szCs w:val="24"/>
              </w:rPr>
            </w:pPr>
          </w:p>
        </w:tc>
        <w:tc>
          <w:tcPr>
            <w:tcW w:w="4929" w:type="dxa"/>
            <w:shd w:val="clear" w:color="auto" w:fill="auto"/>
            <w:vAlign w:val="center"/>
          </w:tcPr>
          <w:p>
            <w:pPr>
              <w:widowControl/>
              <w:spacing w:line="300" w:lineRule="exact"/>
              <w:jc w:val="left"/>
              <w:rPr>
                <w:rFonts w:ascii="Times New Roman" w:hAnsi="Times New Roman" w:eastAsia="仿宋"/>
                <w:bCs/>
                <w:kern w:val="0"/>
                <w:sz w:val="24"/>
                <w:szCs w:val="24"/>
              </w:rPr>
            </w:pPr>
            <w:r>
              <w:rPr>
                <w:rFonts w:hint="eastAsia" w:ascii="Times New Roman" w:hAnsi="Times New Roman" w:eastAsia="仿宋"/>
                <w:bCs/>
                <w:kern w:val="0"/>
                <w:sz w:val="24"/>
                <w:szCs w:val="24"/>
              </w:rPr>
              <w:t>做市商在非豁免情况下发布单向报价。</w:t>
            </w:r>
          </w:p>
        </w:tc>
        <w:tc>
          <w:tcPr>
            <w:tcW w:w="1701" w:type="dxa"/>
            <w:vMerge w:val="continue"/>
          </w:tcPr>
          <w:p>
            <w:pPr>
              <w:spacing w:line="300" w:lineRule="exact"/>
              <w:jc w:val="center"/>
              <w:rPr>
                <w:rFonts w:ascii="Times New Roman" w:hAnsi="Times New Roman"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lang w:val="en"/>
              </w:rPr>
              <w:t>6</w:t>
            </w:r>
            <w:r>
              <w:rPr>
                <w:rFonts w:hint="eastAsia" w:ascii="Times New Roman" w:hAnsi="Times New Roman" w:eastAsia="仿宋"/>
                <w:bCs/>
                <w:kern w:val="0"/>
                <w:sz w:val="24"/>
                <w:szCs w:val="24"/>
              </w:rPr>
              <w:t>0</w:t>
            </w:r>
          </w:p>
        </w:tc>
        <w:tc>
          <w:tcPr>
            <w:tcW w:w="851" w:type="dxa"/>
            <w:vMerge w:val="continue"/>
            <w:vAlign w:val="center"/>
          </w:tcPr>
          <w:p>
            <w:pPr>
              <w:widowControl/>
              <w:spacing w:line="300" w:lineRule="exact"/>
              <w:jc w:val="center"/>
              <w:rPr>
                <w:rFonts w:ascii="Times New Roman" w:hAnsi="Times New Roman" w:eastAsia="仿宋"/>
                <w:kern w:val="0"/>
                <w:sz w:val="24"/>
                <w:szCs w:val="24"/>
              </w:rPr>
            </w:pPr>
          </w:p>
        </w:tc>
        <w:tc>
          <w:tcPr>
            <w:tcW w:w="1701" w:type="dxa"/>
            <w:vMerge w:val="continue"/>
            <w:shd w:val="clear" w:color="auto" w:fill="auto"/>
            <w:vAlign w:val="center"/>
          </w:tcPr>
          <w:p>
            <w:pPr>
              <w:widowControl/>
              <w:spacing w:line="300" w:lineRule="exact"/>
              <w:jc w:val="center"/>
              <w:rPr>
                <w:rFonts w:ascii="Times New Roman" w:hAnsi="Times New Roman" w:eastAsia="仿宋"/>
                <w:kern w:val="0"/>
                <w:sz w:val="24"/>
                <w:szCs w:val="24"/>
              </w:rPr>
            </w:pPr>
          </w:p>
        </w:tc>
        <w:tc>
          <w:tcPr>
            <w:tcW w:w="4929" w:type="dxa"/>
            <w:shd w:val="clear" w:color="auto" w:fill="auto"/>
            <w:vAlign w:val="center"/>
          </w:tcPr>
          <w:p>
            <w:pPr>
              <w:widowControl/>
              <w:spacing w:line="300" w:lineRule="exact"/>
              <w:jc w:val="left"/>
              <w:rPr>
                <w:rFonts w:ascii="Times New Roman" w:hAnsi="Times New Roman" w:eastAsia="仿宋"/>
                <w:bCs/>
                <w:kern w:val="0"/>
                <w:sz w:val="24"/>
                <w:szCs w:val="24"/>
              </w:rPr>
            </w:pPr>
            <w:r>
              <w:rPr>
                <w:rFonts w:hint="eastAsia" w:ascii="Times New Roman" w:hAnsi="Times New Roman" w:eastAsia="仿宋" w:cs="Times New Roman"/>
                <w:bCs/>
                <w:kern w:val="0"/>
                <w:sz w:val="24"/>
                <w:szCs w:val="24"/>
              </w:rPr>
              <w:t>做市商未于触发豁免双向报价的3个交易日内恢复正常双向报价。</w:t>
            </w:r>
          </w:p>
        </w:tc>
        <w:tc>
          <w:tcPr>
            <w:tcW w:w="1701" w:type="dxa"/>
            <w:vMerge w:val="continue"/>
          </w:tcPr>
          <w:p>
            <w:pPr>
              <w:spacing w:line="300" w:lineRule="exact"/>
              <w:jc w:val="center"/>
              <w:rPr>
                <w:rFonts w:ascii="Times New Roman" w:hAnsi="Times New Roman"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lang w:val="en"/>
              </w:rPr>
              <w:t>6</w:t>
            </w:r>
            <w:r>
              <w:rPr>
                <w:rFonts w:hint="eastAsia" w:ascii="Times New Roman" w:hAnsi="Times New Roman" w:eastAsia="仿宋"/>
                <w:bCs/>
                <w:kern w:val="0"/>
                <w:sz w:val="24"/>
                <w:szCs w:val="24"/>
              </w:rPr>
              <w:t>1</w:t>
            </w:r>
          </w:p>
        </w:tc>
        <w:tc>
          <w:tcPr>
            <w:tcW w:w="851" w:type="dxa"/>
            <w:vMerge w:val="continue"/>
            <w:vAlign w:val="center"/>
          </w:tcPr>
          <w:p>
            <w:pPr>
              <w:widowControl/>
              <w:spacing w:line="300" w:lineRule="exact"/>
              <w:jc w:val="center"/>
              <w:rPr>
                <w:rFonts w:ascii="Times New Roman" w:hAnsi="Times New Roman" w:eastAsia="仿宋"/>
                <w:kern w:val="0"/>
                <w:sz w:val="24"/>
                <w:szCs w:val="24"/>
              </w:rPr>
            </w:pPr>
          </w:p>
        </w:tc>
        <w:tc>
          <w:tcPr>
            <w:tcW w:w="1701" w:type="dxa"/>
            <w:vMerge w:val="continue"/>
            <w:shd w:val="clear" w:color="auto" w:fill="auto"/>
            <w:vAlign w:val="center"/>
          </w:tcPr>
          <w:p>
            <w:pPr>
              <w:widowControl/>
              <w:spacing w:line="300" w:lineRule="exact"/>
              <w:jc w:val="center"/>
              <w:rPr>
                <w:rFonts w:ascii="Times New Roman" w:hAnsi="Times New Roman" w:eastAsia="仿宋"/>
                <w:kern w:val="0"/>
                <w:sz w:val="24"/>
                <w:szCs w:val="24"/>
              </w:rPr>
            </w:pPr>
          </w:p>
        </w:tc>
        <w:tc>
          <w:tcPr>
            <w:tcW w:w="4929" w:type="dxa"/>
            <w:shd w:val="clear" w:color="auto" w:fill="auto"/>
            <w:vAlign w:val="center"/>
          </w:tcPr>
          <w:p>
            <w:pPr>
              <w:widowControl/>
              <w:spacing w:line="300" w:lineRule="exact"/>
              <w:jc w:val="left"/>
              <w:rPr>
                <w:rFonts w:ascii="Times New Roman" w:hAnsi="Times New Roman" w:eastAsia="仿宋"/>
                <w:bCs/>
                <w:kern w:val="0"/>
                <w:sz w:val="24"/>
                <w:szCs w:val="24"/>
              </w:rPr>
            </w:pPr>
            <w:r>
              <w:rPr>
                <w:rFonts w:hint="eastAsia" w:ascii="Times New Roman" w:hAnsi="Times New Roman" w:eastAsia="仿宋" w:cs="Times New Roman"/>
                <w:bCs/>
                <w:kern w:val="0"/>
                <w:sz w:val="24"/>
                <w:szCs w:val="24"/>
              </w:rPr>
              <w:t>做市商提供双向报价的时间未达到该股票当日做市交易撮合时间的75%。</w:t>
            </w:r>
          </w:p>
        </w:tc>
        <w:tc>
          <w:tcPr>
            <w:tcW w:w="1701" w:type="dxa"/>
            <w:vMerge w:val="continue"/>
          </w:tcPr>
          <w:p>
            <w:pPr>
              <w:widowControl/>
              <w:spacing w:line="300" w:lineRule="exact"/>
              <w:jc w:val="center"/>
              <w:rPr>
                <w:rFonts w:ascii="Times New Roman" w:hAnsi="Times New Roman"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62</w:t>
            </w:r>
          </w:p>
        </w:tc>
        <w:tc>
          <w:tcPr>
            <w:tcW w:w="851" w:type="dxa"/>
            <w:vMerge w:val="continue"/>
            <w:vAlign w:val="center"/>
          </w:tcPr>
          <w:p>
            <w:pPr>
              <w:widowControl/>
              <w:spacing w:line="300" w:lineRule="exact"/>
              <w:jc w:val="center"/>
              <w:rPr>
                <w:rFonts w:ascii="Times New Roman" w:hAnsi="Times New Roman" w:eastAsia="仿宋"/>
                <w:kern w:val="0"/>
                <w:sz w:val="24"/>
                <w:szCs w:val="24"/>
              </w:rPr>
            </w:pPr>
          </w:p>
        </w:tc>
        <w:tc>
          <w:tcPr>
            <w:tcW w:w="1701" w:type="dxa"/>
            <w:vMerge w:val="continue"/>
            <w:shd w:val="clear" w:color="auto" w:fill="auto"/>
            <w:vAlign w:val="center"/>
          </w:tcPr>
          <w:p>
            <w:pPr>
              <w:widowControl/>
              <w:spacing w:line="300" w:lineRule="exact"/>
              <w:jc w:val="center"/>
              <w:rPr>
                <w:rFonts w:ascii="Times New Roman" w:hAnsi="Times New Roman" w:eastAsia="仿宋"/>
                <w:kern w:val="0"/>
                <w:sz w:val="24"/>
                <w:szCs w:val="24"/>
              </w:rPr>
            </w:pPr>
          </w:p>
        </w:tc>
        <w:tc>
          <w:tcPr>
            <w:tcW w:w="4929" w:type="dxa"/>
            <w:shd w:val="clear" w:color="auto" w:fill="auto"/>
            <w:vAlign w:val="center"/>
          </w:tcPr>
          <w:p>
            <w:pPr>
              <w:widowControl/>
              <w:spacing w:line="300" w:lineRule="exact"/>
              <w:jc w:val="left"/>
              <w:rPr>
                <w:rFonts w:ascii="Times New Roman" w:hAnsi="Times New Roman" w:eastAsia="仿宋"/>
                <w:bCs/>
                <w:kern w:val="0"/>
                <w:sz w:val="24"/>
                <w:szCs w:val="24"/>
              </w:rPr>
            </w:pPr>
            <w:r>
              <w:rPr>
                <w:rFonts w:ascii="Times New Roman" w:hAnsi="Times New Roman" w:eastAsia="仿宋"/>
                <w:kern w:val="0"/>
                <w:sz w:val="24"/>
                <w:szCs w:val="24"/>
              </w:rPr>
              <w:t>频繁进入做市报价豁免期。</w:t>
            </w:r>
          </w:p>
        </w:tc>
        <w:tc>
          <w:tcPr>
            <w:tcW w:w="1701" w:type="dxa"/>
          </w:tcPr>
          <w:p>
            <w:pPr>
              <w:widowControl/>
              <w:spacing w:line="300" w:lineRule="exact"/>
              <w:jc w:val="center"/>
              <w:rPr>
                <w:rFonts w:ascii="Times New Roman" w:hAnsi="Times New Roman" w:eastAsia="仿宋"/>
                <w:kern w:val="0"/>
                <w:sz w:val="24"/>
                <w:szCs w:val="24"/>
              </w:rPr>
            </w:pPr>
            <w:r>
              <w:rPr>
                <w:rFonts w:hint="eastAsia" w:ascii="Times New Roman" w:hAnsi="Times New Roman" w:eastAsia="仿宋"/>
                <w:kern w:val="0"/>
                <w:sz w:val="24"/>
                <w:szCs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63</w:t>
            </w:r>
          </w:p>
        </w:tc>
        <w:tc>
          <w:tcPr>
            <w:tcW w:w="851" w:type="dxa"/>
            <w:vMerge w:val="continue"/>
            <w:vAlign w:val="center"/>
          </w:tcPr>
          <w:p>
            <w:pPr>
              <w:widowControl/>
              <w:spacing w:line="300" w:lineRule="exact"/>
              <w:jc w:val="center"/>
              <w:rPr>
                <w:rFonts w:ascii="Times New Roman" w:hAnsi="Times New Roman" w:eastAsia="仿宋"/>
                <w:kern w:val="0"/>
                <w:sz w:val="24"/>
                <w:szCs w:val="24"/>
              </w:rPr>
            </w:pPr>
          </w:p>
        </w:tc>
        <w:tc>
          <w:tcPr>
            <w:tcW w:w="1701" w:type="dxa"/>
            <w:vMerge w:val="restart"/>
            <w:shd w:val="clear" w:color="auto" w:fill="auto"/>
            <w:vAlign w:val="center"/>
          </w:tcPr>
          <w:p>
            <w:pPr>
              <w:widowControl/>
              <w:spacing w:line="300" w:lineRule="exact"/>
              <w:jc w:val="center"/>
              <w:rPr>
                <w:rFonts w:ascii="Times New Roman" w:hAnsi="Times New Roman" w:eastAsia="仿宋"/>
                <w:kern w:val="0"/>
                <w:sz w:val="24"/>
                <w:szCs w:val="24"/>
              </w:rPr>
            </w:pPr>
            <w:r>
              <w:rPr>
                <w:rFonts w:hint="eastAsia" w:ascii="Times New Roman" w:hAnsi="Times New Roman" w:eastAsia="仿宋"/>
                <w:kern w:val="0"/>
                <w:sz w:val="24"/>
                <w:szCs w:val="24"/>
              </w:rPr>
              <w:t>业务申请</w:t>
            </w:r>
          </w:p>
        </w:tc>
        <w:tc>
          <w:tcPr>
            <w:tcW w:w="4929" w:type="dxa"/>
            <w:shd w:val="clear" w:color="auto" w:fill="auto"/>
            <w:vAlign w:val="center"/>
          </w:tcPr>
          <w:p>
            <w:pPr>
              <w:widowControl/>
              <w:spacing w:line="300" w:lineRule="exact"/>
              <w:jc w:val="left"/>
              <w:rPr>
                <w:rFonts w:ascii="Times New Roman" w:hAnsi="Times New Roman" w:eastAsia="仿宋"/>
                <w:kern w:val="0"/>
                <w:sz w:val="24"/>
                <w:szCs w:val="24"/>
              </w:rPr>
            </w:pPr>
            <w:r>
              <w:rPr>
                <w:rFonts w:hint="eastAsia" w:ascii="仿宋" w:hAnsi="仿宋" w:eastAsia="仿宋"/>
                <w:sz w:val="24"/>
                <w:szCs w:val="24"/>
              </w:rPr>
              <w:t>业务申请材料未按照《全国中小企业股份转让系统股票交易方式确定及变更业务办理指南》中的相关规定出具。</w:t>
            </w:r>
          </w:p>
        </w:tc>
        <w:tc>
          <w:tcPr>
            <w:tcW w:w="1701" w:type="dxa"/>
            <w:vAlign w:val="center"/>
          </w:tcPr>
          <w:p>
            <w:pPr>
              <w:widowControl/>
              <w:spacing w:line="300" w:lineRule="exact"/>
              <w:jc w:val="center"/>
              <w:rPr>
                <w:rFonts w:ascii="Times New Roman" w:hAnsi="Times New Roman" w:eastAsia="仿宋"/>
                <w:kern w:val="0"/>
                <w:sz w:val="24"/>
                <w:szCs w:val="24"/>
              </w:rPr>
            </w:pPr>
            <w:r>
              <w:rPr>
                <w:rFonts w:ascii="Times New Roman" w:hAnsi="Times New Roman" w:eastAsia="仿宋"/>
                <w:sz w:val="24"/>
                <w:szCs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64</w:t>
            </w:r>
          </w:p>
        </w:tc>
        <w:tc>
          <w:tcPr>
            <w:tcW w:w="851" w:type="dxa"/>
            <w:vMerge w:val="continue"/>
            <w:vAlign w:val="center"/>
          </w:tcPr>
          <w:p>
            <w:pPr>
              <w:widowControl/>
              <w:spacing w:line="300" w:lineRule="exact"/>
              <w:jc w:val="center"/>
              <w:rPr>
                <w:rFonts w:ascii="Times New Roman" w:hAnsi="Times New Roman" w:eastAsia="仿宋"/>
                <w:kern w:val="0"/>
                <w:sz w:val="24"/>
                <w:szCs w:val="24"/>
              </w:rPr>
            </w:pPr>
          </w:p>
        </w:tc>
        <w:tc>
          <w:tcPr>
            <w:tcW w:w="1701" w:type="dxa"/>
            <w:vMerge w:val="continue"/>
            <w:shd w:val="clear" w:color="auto" w:fill="auto"/>
            <w:vAlign w:val="center"/>
          </w:tcPr>
          <w:p>
            <w:pPr>
              <w:widowControl/>
              <w:spacing w:line="300" w:lineRule="exact"/>
              <w:jc w:val="center"/>
              <w:rPr>
                <w:rFonts w:ascii="Times New Roman" w:hAnsi="Times New Roman" w:eastAsia="仿宋"/>
                <w:kern w:val="0"/>
                <w:sz w:val="24"/>
                <w:szCs w:val="24"/>
              </w:rPr>
            </w:pPr>
          </w:p>
        </w:tc>
        <w:tc>
          <w:tcPr>
            <w:tcW w:w="4929" w:type="dxa"/>
            <w:shd w:val="clear" w:color="auto" w:fill="auto"/>
            <w:vAlign w:val="center"/>
          </w:tcPr>
          <w:p>
            <w:pPr>
              <w:widowControl/>
              <w:spacing w:line="300" w:lineRule="exact"/>
              <w:jc w:val="left"/>
              <w:rPr>
                <w:rFonts w:ascii="仿宋" w:hAnsi="仿宋" w:eastAsia="仿宋"/>
                <w:sz w:val="24"/>
              </w:rPr>
            </w:pPr>
            <w:r>
              <w:rPr>
                <w:rFonts w:hint="eastAsia" w:ascii="仿宋" w:hAnsi="仿宋" w:eastAsia="仿宋"/>
                <w:sz w:val="24"/>
                <w:szCs w:val="24"/>
              </w:rPr>
              <w:t>业务申请材料</w:t>
            </w:r>
            <w:r>
              <w:rPr>
                <w:rFonts w:hint="eastAsia" w:ascii="Times New Roman" w:hAnsi="Times New Roman" w:eastAsia="仿宋"/>
                <w:bCs/>
                <w:kern w:val="0"/>
                <w:sz w:val="24"/>
                <w:szCs w:val="24"/>
              </w:rPr>
              <w:t>存在关键要素缺失或错误。</w:t>
            </w:r>
          </w:p>
        </w:tc>
        <w:tc>
          <w:tcPr>
            <w:tcW w:w="1701" w:type="dxa"/>
            <w:vAlign w:val="center"/>
          </w:tcPr>
          <w:p>
            <w:pPr>
              <w:widowControl/>
              <w:spacing w:line="300" w:lineRule="exact"/>
              <w:jc w:val="center"/>
              <w:rPr>
                <w:rFonts w:ascii="Times New Roman" w:hAnsi="Times New Roman" w:eastAsia="仿宋"/>
                <w:sz w:val="24"/>
              </w:rPr>
            </w:pPr>
            <w:r>
              <w:rPr>
                <w:rFonts w:ascii="Times New Roman" w:hAnsi="Times New Roman" w:eastAsia="仿宋"/>
                <w:sz w:val="24"/>
                <w:szCs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65</w:t>
            </w:r>
          </w:p>
        </w:tc>
        <w:tc>
          <w:tcPr>
            <w:tcW w:w="851" w:type="dxa"/>
            <w:vMerge w:val="continue"/>
            <w:vAlign w:val="center"/>
          </w:tcPr>
          <w:p>
            <w:pPr>
              <w:widowControl/>
              <w:spacing w:line="300" w:lineRule="exact"/>
              <w:jc w:val="center"/>
              <w:rPr>
                <w:rFonts w:ascii="Times New Roman" w:hAnsi="Times New Roman" w:eastAsia="仿宋"/>
                <w:kern w:val="0"/>
                <w:sz w:val="24"/>
                <w:szCs w:val="24"/>
              </w:rPr>
            </w:pPr>
          </w:p>
        </w:tc>
        <w:tc>
          <w:tcPr>
            <w:tcW w:w="1701" w:type="dxa"/>
            <w:vMerge w:val="continue"/>
            <w:shd w:val="clear" w:color="auto" w:fill="auto"/>
            <w:vAlign w:val="center"/>
          </w:tcPr>
          <w:p>
            <w:pPr>
              <w:widowControl/>
              <w:spacing w:line="300" w:lineRule="exact"/>
              <w:jc w:val="center"/>
              <w:rPr>
                <w:rFonts w:ascii="Times New Roman" w:hAnsi="Times New Roman" w:eastAsia="仿宋"/>
                <w:kern w:val="0"/>
                <w:sz w:val="24"/>
                <w:szCs w:val="24"/>
              </w:rPr>
            </w:pPr>
          </w:p>
        </w:tc>
        <w:tc>
          <w:tcPr>
            <w:tcW w:w="4929" w:type="dxa"/>
            <w:shd w:val="clear" w:color="auto" w:fill="auto"/>
            <w:vAlign w:val="center"/>
          </w:tcPr>
          <w:p>
            <w:pPr>
              <w:widowControl/>
              <w:spacing w:line="300" w:lineRule="exact"/>
              <w:jc w:val="left"/>
              <w:rPr>
                <w:rFonts w:ascii="仿宋" w:hAnsi="仿宋" w:eastAsia="仿宋"/>
                <w:sz w:val="24"/>
              </w:rPr>
            </w:pPr>
            <w:r>
              <w:rPr>
                <w:rFonts w:hint="eastAsia" w:ascii="仿宋" w:hAnsi="仿宋" w:eastAsia="仿宋"/>
                <w:sz w:val="24"/>
                <w:szCs w:val="24"/>
              </w:rPr>
              <w:t>未在规则要求的时限内提交业务申请材料。</w:t>
            </w:r>
          </w:p>
        </w:tc>
        <w:tc>
          <w:tcPr>
            <w:tcW w:w="1701" w:type="dxa"/>
            <w:vAlign w:val="center"/>
          </w:tcPr>
          <w:p>
            <w:pPr>
              <w:widowControl/>
              <w:spacing w:line="300" w:lineRule="exact"/>
              <w:jc w:val="center"/>
              <w:rPr>
                <w:rFonts w:ascii="Times New Roman" w:hAnsi="Times New Roman" w:eastAsia="仿宋"/>
                <w:sz w:val="24"/>
              </w:rPr>
            </w:pPr>
            <w:r>
              <w:rPr>
                <w:rFonts w:ascii="Times New Roman" w:hAnsi="Times New Roman" w:eastAsia="仿宋"/>
                <w:sz w:val="24"/>
                <w:szCs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66</w:t>
            </w:r>
          </w:p>
        </w:tc>
        <w:tc>
          <w:tcPr>
            <w:tcW w:w="851" w:type="dxa"/>
            <w:vMerge w:val="continue"/>
            <w:vAlign w:val="center"/>
          </w:tcPr>
          <w:p>
            <w:pPr>
              <w:widowControl/>
              <w:spacing w:line="300" w:lineRule="exact"/>
              <w:jc w:val="center"/>
              <w:rPr>
                <w:rFonts w:ascii="Times New Roman" w:hAnsi="Times New Roman" w:eastAsia="仿宋"/>
                <w:kern w:val="0"/>
                <w:sz w:val="24"/>
                <w:szCs w:val="24"/>
              </w:rPr>
            </w:pPr>
          </w:p>
        </w:tc>
        <w:tc>
          <w:tcPr>
            <w:tcW w:w="1701" w:type="dxa"/>
            <w:vMerge w:val="continue"/>
            <w:shd w:val="clear" w:color="auto" w:fill="auto"/>
            <w:vAlign w:val="center"/>
          </w:tcPr>
          <w:p>
            <w:pPr>
              <w:widowControl/>
              <w:spacing w:line="300" w:lineRule="exact"/>
              <w:jc w:val="center"/>
              <w:rPr>
                <w:rFonts w:ascii="Times New Roman" w:hAnsi="Times New Roman" w:eastAsia="仿宋"/>
                <w:kern w:val="0"/>
                <w:sz w:val="24"/>
                <w:szCs w:val="24"/>
              </w:rPr>
            </w:pPr>
          </w:p>
        </w:tc>
        <w:tc>
          <w:tcPr>
            <w:tcW w:w="4929" w:type="dxa"/>
            <w:shd w:val="clear" w:color="auto" w:fill="auto"/>
            <w:vAlign w:val="center"/>
          </w:tcPr>
          <w:p>
            <w:pPr>
              <w:widowControl/>
              <w:spacing w:line="300" w:lineRule="exact"/>
              <w:jc w:val="left"/>
              <w:rPr>
                <w:rFonts w:ascii="仿宋" w:hAnsi="仿宋" w:eastAsia="仿宋"/>
                <w:sz w:val="24"/>
              </w:rPr>
            </w:pPr>
            <w:r>
              <w:rPr>
                <w:rFonts w:hint="eastAsia" w:ascii="仿宋" w:hAnsi="仿宋" w:eastAsia="仿宋"/>
                <w:sz w:val="24"/>
                <w:szCs w:val="24"/>
              </w:rPr>
              <w:t>做市商未按时向中国结算提交股票划转申请或股份划转信息选择错误。</w:t>
            </w:r>
          </w:p>
        </w:tc>
        <w:tc>
          <w:tcPr>
            <w:tcW w:w="1701" w:type="dxa"/>
            <w:vAlign w:val="center"/>
          </w:tcPr>
          <w:p>
            <w:pPr>
              <w:widowControl/>
              <w:spacing w:line="300" w:lineRule="exact"/>
              <w:jc w:val="center"/>
              <w:rPr>
                <w:rFonts w:ascii="Times New Roman" w:hAnsi="Times New Roman" w:eastAsia="仿宋"/>
                <w:sz w:val="24"/>
              </w:rPr>
            </w:pPr>
            <w:r>
              <w:rPr>
                <w:rFonts w:ascii="Times New Roman" w:hAnsi="Times New Roman" w:eastAsia="仿宋"/>
                <w:sz w:val="24"/>
                <w:szCs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67</w:t>
            </w:r>
          </w:p>
        </w:tc>
        <w:tc>
          <w:tcPr>
            <w:tcW w:w="851" w:type="dxa"/>
            <w:vMerge w:val="continue"/>
            <w:vAlign w:val="center"/>
          </w:tcPr>
          <w:p>
            <w:pPr>
              <w:widowControl/>
              <w:spacing w:line="300" w:lineRule="exact"/>
              <w:jc w:val="center"/>
              <w:rPr>
                <w:rFonts w:ascii="Times New Roman" w:hAnsi="Times New Roman" w:eastAsia="仿宋"/>
                <w:kern w:val="0"/>
                <w:sz w:val="24"/>
                <w:szCs w:val="24"/>
              </w:rPr>
            </w:pPr>
          </w:p>
        </w:tc>
        <w:tc>
          <w:tcPr>
            <w:tcW w:w="1701" w:type="dxa"/>
            <w:shd w:val="clear" w:color="auto" w:fill="auto"/>
            <w:vAlign w:val="center"/>
          </w:tcPr>
          <w:p>
            <w:pPr>
              <w:widowControl/>
              <w:spacing w:line="300" w:lineRule="exact"/>
              <w:jc w:val="center"/>
              <w:rPr>
                <w:rFonts w:ascii="Times New Roman" w:hAnsi="Times New Roman" w:eastAsia="仿宋"/>
                <w:kern w:val="0"/>
                <w:sz w:val="24"/>
                <w:szCs w:val="24"/>
              </w:rPr>
            </w:pPr>
            <w:r>
              <w:rPr>
                <w:rFonts w:hint="eastAsia" w:ascii="Times New Roman" w:hAnsi="Times New Roman" w:eastAsia="仿宋"/>
                <w:kern w:val="0"/>
                <w:sz w:val="24"/>
                <w:szCs w:val="24"/>
              </w:rPr>
              <w:t>其他</w:t>
            </w:r>
          </w:p>
        </w:tc>
        <w:tc>
          <w:tcPr>
            <w:tcW w:w="4929" w:type="dxa"/>
            <w:shd w:val="clear" w:color="auto" w:fill="auto"/>
            <w:vAlign w:val="center"/>
          </w:tcPr>
          <w:p>
            <w:pPr>
              <w:widowControl/>
              <w:spacing w:line="300" w:lineRule="exact"/>
              <w:jc w:val="left"/>
              <w:rPr>
                <w:rFonts w:ascii="仿宋" w:hAnsi="仿宋" w:eastAsia="仿宋"/>
                <w:sz w:val="24"/>
                <w:szCs w:val="24"/>
              </w:rPr>
            </w:pPr>
            <w:r>
              <w:rPr>
                <w:rFonts w:ascii="Times New Roman" w:hAnsi="Times New Roman" w:eastAsia="仿宋"/>
                <w:kern w:val="0"/>
                <w:sz w:val="24"/>
                <w:szCs w:val="24"/>
              </w:rPr>
              <w:t>其他发现的负面监管事项。</w:t>
            </w:r>
          </w:p>
        </w:tc>
        <w:tc>
          <w:tcPr>
            <w:tcW w:w="1701" w:type="dxa"/>
            <w:vAlign w:val="center"/>
          </w:tcPr>
          <w:p>
            <w:pPr>
              <w:widowControl/>
              <w:spacing w:line="300" w:lineRule="exact"/>
              <w:jc w:val="center"/>
              <w:rPr>
                <w:rFonts w:ascii="Times New Roman" w:hAnsi="Times New Roman" w:eastAsia="仿宋"/>
                <w:sz w:val="24"/>
                <w:szCs w:val="24"/>
              </w:rPr>
            </w:pPr>
            <w:r>
              <w:rPr>
                <w:rFonts w:ascii="Times New Roman" w:hAnsi="Times New Roman" w:eastAsia="仿宋"/>
                <w:sz w:val="24"/>
                <w:szCs w:val="24"/>
              </w:rPr>
              <w:t>0.5</w:t>
            </w:r>
            <w:r>
              <w:rPr>
                <w:rFonts w:ascii="Times New Roman" w:hAnsi="Times New Roman" w:eastAsia="仿宋"/>
                <w:kern w:val="0"/>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9639" w:type="dxa"/>
            <w:gridSpan w:val="5"/>
            <w:shd w:val="clear" w:color="auto" w:fill="D7D7D7" w:themeFill="background1" w:themeFillShade="D8"/>
            <w:noWrap/>
            <w:vAlign w:val="center"/>
          </w:tcPr>
          <w:p>
            <w:pPr>
              <w:widowControl/>
              <w:spacing w:line="300" w:lineRule="exact"/>
              <w:jc w:val="center"/>
              <w:rPr>
                <w:rFonts w:ascii="Times New Roman" w:hAnsi="Times New Roman" w:eastAsia="仿宋"/>
                <w:sz w:val="24"/>
                <w:szCs w:val="24"/>
              </w:rPr>
            </w:pPr>
            <w:r>
              <w:rPr>
                <w:rFonts w:hint="eastAsia" w:ascii="Times New Roman" w:hAnsi="Times New Roman" w:eastAsia="仿宋"/>
                <w:b/>
                <w:kern w:val="0"/>
                <w:sz w:val="24"/>
                <w:szCs w:val="24"/>
              </w:rPr>
              <w:t>三</w:t>
            </w:r>
            <w:r>
              <w:rPr>
                <w:rFonts w:ascii="Times New Roman" w:hAnsi="Times New Roman" w:eastAsia="仿宋"/>
                <w:b/>
                <w:kern w:val="0"/>
                <w:sz w:val="24"/>
                <w:szCs w:val="24"/>
              </w:rPr>
              <w:t>、</w:t>
            </w:r>
            <w:r>
              <w:rPr>
                <w:rFonts w:hint="eastAsia" w:ascii="Times New Roman" w:hAnsi="Times New Roman" w:eastAsia="仿宋"/>
                <w:b/>
                <w:kern w:val="0"/>
                <w:sz w:val="24"/>
                <w:szCs w:val="24"/>
              </w:rPr>
              <w:t xml:space="preserve">北京证券交易所 </w:t>
            </w:r>
            <w:r>
              <w:rPr>
                <w:rFonts w:ascii="Times New Roman" w:hAnsi="Times New Roman" w:eastAsia="仿宋"/>
                <w:b/>
                <w:kern w:val="0"/>
                <w:sz w:val="24"/>
                <w:szCs w:val="24"/>
              </w:rPr>
              <w:t>全国中小企业股份转让系统</w:t>
            </w:r>
            <w:r>
              <w:rPr>
                <w:rFonts w:hint="eastAsia" w:ascii="Times New Roman" w:hAnsi="Times New Roman" w:eastAsia="仿宋"/>
                <w:b/>
                <w:kern w:val="0"/>
                <w:sz w:val="24"/>
                <w:szCs w:val="24"/>
              </w:rPr>
              <w:t>经纪业务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68</w:t>
            </w:r>
          </w:p>
        </w:tc>
        <w:tc>
          <w:tcPr>
            <w:tcW w:w="851" w:type="dxa"/>
            <w:vMerge w:val="restart"/>
            <w:vAlign w:val="center"/>
          </w:tcPr>
          <w:p>
            <w:pPr>
              <w:widowControl/>
              <w:spacing w:line="300" w:lineRule="exact"/>
              <w:jc w:val="center"/>
              <w:rPr>
                <w:rFonts w:ascii="Times New Roman" w:hAnsi="Times New Roman" w:eastAsia="仿宋"/>
                <w:kern w:val="0"/>
                <w:sz w:val="24"/>
                <w:szCs w:val="24"/>
              </w:rPr>
            </w:pPr>
            <w:r>
              <w:rPr>
                <w:rFonts w:hint="eastAsia" w:ascii="Times New Roman" w:hAnsi="Times New Roman" w:eastAsia="仿宋"/>
                <w:kern w:val="0"/>
                <w:sz w:val="24"/>
                <w:szCs w:val="24"/>
              </w:rPr>
              <w:t>经纪业务</w:t>
            </w:r>
            <w:r>
              <w:rPr>
                <w:rFonts w:ascii="Times New Roman" w:hAnsi="Times New Roman" w:eastAsia="仿宋"/>
                <w:kern w:val="0"/>
                <w:sz w:val="24"/>
                <w:szCs w:val="24"/>
              </w:rPr>
              <w:t>负面行为</w:t>
            </w:r>
          </w:p>
        </w:tc>
        <w:tc>
          <w:tcPr>
            <w:tcW w:w="1701" w:type="dxa"/>
            <w:vMerge w:val="restart"/>
            <w:shd w:val="clear" w:color="auto" w:fill="auto"/>
            <w:vAlign w:val="center"/>
          </w:tcPr>
          <w:p>
            <w:pPr>
              <w:widowControl/>
              <w:spacing w:line="300" w:lineRule="exact"/>
              <w:jc w:val="center"/>
              <w:rPr>
                <w:rFonts w:ascii="Times New Roman" w:hAnsi="Times New Roman" w:eastAsia="仿宋"/>
                <w:kern w:val="0"/>
                <w:sz w:val="24"/>
                <w:szCs w:val="24"/>
              </w:rPr>
            </w:pPr>
            <w:r>
              <w:rPr>
                <w:rFonts w:hint="eastAsia" w:ascii="Times New Roman" w:hAnsi="Times New Roman" w:eastAsia="仿宋"/>
                <w:kern w:val="0"/>
                <w:sz w:val="24"/>
                <w:szCs w:val="24"/>
              </w:rPr>
              <w:t>投资者适当性</w:t>
            </w:r>
            <w:r>
              <w:rPr>
                <w:rFonts w:ascii="Times New Roman" w:hAnsi="Times New Roman" w:eastAsia="仿宋"/>
                <w:kern w:val="0"/>
                <w:sz w:val="24"/>
                <w:szCs w:val="24"/>
              </w:rPr>
              <w:t>管理</w:t>
            </w:r>
          </w:p>
        </w:tc>
        <w:tc>
          <w:tcPr>
            <w:tcW w:w="4929" w:type="dxa"/>
            <w:shd w:val="clear" w:color="auto" w:fill="auto"/>
            <w:vAlign w:val="center"/>
          </w:tcPr>
          <w:p>
            <w:pPr>
              <w:widowControl/>
              <w:spacing w:line="300" w:lineRule="exact"/>
              <w:jc w:val="left"/>
              <w:rPr>
                <w:rFonts w:ascii="仿宋" w:hAnsi="仿宋" w:eastAsia="仿宋"/>
                <w:sz w:val="24"/>
                <w:szCs w:val="24"/>
              </w:rPr>
            </w:pPr>
            <w:r>
              <w:rPr>
                <w:rFonts w:ascii="Times New Roman" w:hAnsi="Times New Roman" w:eastAsia="仿宋"/>
                <w:kern w:val="0"/>
                <w:sz w:val="24"/>
                <w:szCs w:val="24"/>
              </w:rPr>
              <w:t>营业部信息更新未及时报告或报告信息不完整。</w:t>
            </w:r>
          </w:p>
        </w:tc>
        <w:tc>
          <w:tcPr>
            <w:tcW w:w="1701" w:type="dxa"/>
            <w:vAlign w:val="center"/>
          </w:tcPr>
          <w:p>
            <w:pPr>
              <w:widowControl/>
              <w:spacing w:line="300" w:lineRule="exact"/>
              <w:jc w:val="center"/>
              <w:rPr>
                <w:rFonts w:ascii="Times New Roman" w:hAnsi="Times New Roman" w:eastAsia="仿宋"/>
                <w:sz w:val="24"/>
                <w:szCs w:val="24"/>
              </w:rPr>
            </w:pPr>
            <w:r>
              <w:rPr>
                <w:rFonts w:ascii="Times New Roman" w:hAnsi="Times New Roman" w:eastAsia="仿宋"/>
                <w:kern w:val="0"/>
                <w:sz w:val="24"/>
                <w:szCs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69</w:t>
            </w:r>
          </w:p>
        </w:tc>
        <w:tc>
          <w:tcPr>
            <w:tcW w:w="851" w:type="dxa"/>
            <w:vMerge w:val="continue"/>
            <w:vAlign w:val="center"/>
          </w:tcPr>
          <w:p>
            <w:pPr>
              <w:widowControl/>
              <w:spacing w:line="300" w:lineRule="exact"/>
              <w:jc w:val="center"/>
              <w:rPr>
                <w:rFonts w:ascii="Times New Roman" w:hAnsi="Times New Roman" w:eastAsia="仿宋"/>
                <w:kern w:val="0"/>
                <w:sz w:val="24"/>
                <w:szCs w:val="24"/>
              </w:rPr>
            </w:pPr>
          </w:p>
        </w:tc>
        <w:tc>
          <w:tcPr>
            <w:tcW w:w="1701" w:type="dxa"/>
            <w:vMerge w:val="continue"/>
            <w:shd w:val="clear" w:color="auto" w:fill="auto"/>
            <w:vAlign w:val="center"/>
          </w:tcPr>
          <w:p>
            <w:pPr>
              <w:widowControl/>
              <w:spacing w:line="300" w:lineRule="exact"/>
              <w:jc w:val="center"/>
              <w:rPr>
                <w:rFonts w:ascii="Times New Roman" w:hAnsi="Times New Roman" w:eastAsia="仿宋"/>
                <w:kern w:val="0"/>
                <w:sz w:val="24"/>
                <w:szCs w:val="24"/>
              </w:rPr>
            </w:pPr>
          </w:p>
        </w:tc>
        <w:tc>
          <w:tcPr>
            <w:tcW w:w="4929" w:type="dxa"/>
            <w:shd w:val="clear" w:color="auto" w:fill="auto"/>
            <w:vAlign w:val="center"/>
          </w:tcPr>
          <w:p>
            <w:pPr>
              <w:widowControl/>
              <w:spacing w:line="300" w:lineRule="exact"/>
              <w:jc w:val="left"/>
              <w:rPr>
                <w:rFonts w:ascii="仿宋" w:hAnsi="仿宋" w:eastAsia="仿宋"/>
                <w:sz w:val="24"/>
                <w:szCs w:val="24"/>
              </w:rPr>
            </w:pPr>
            <w:r>
              <w:rPr>
                <w:rFonts w:hint="eastAsia" w:ascii="仿宋" w:hAnsi="仿宋" w:eastAsia="仿宋"/>
                <w:sz w:val="24"/>
                <w:szCs w:val="24"/>
              </w:rPr>
              <w:t>未按要求报送投资者适当性信息。</w:t>
            </w:r>
          </w:p>
        </w:tc>
        <w:tc>
          <w:tcPr>
            <w:tcW w:w="1701" w:type="dxa"/>
            <w:vAlign w:val="center"/>
          </w:tcPr>
          <w:p>
            <w:pPr>
              <w:widowControl/>
              <w:spacing w:line="300" w:lineRule="exact"/>
              <w:jc w:val="center"/>
              <w:rPr>
                <w:rFonts w:ascii="Times New Roman" w:hAnsi="Times New Roman" w:eastAsia="仿宋"/>
                <w:sz w:val="24"/>
                <w:szCs w:val="24"/>
              </w:rPr>
            </w:pPr>
            <w:r>
              <w:rPr>
                <w:rFonts w:ascii="Times New Roman" w:hAnsi="Times New Roman" w:eastAsia="仿宋"/>
                <w:sz w:val="24"/>
                <w:szCs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70</w:t>
            </w:r>
          </w:p>
        </w:tc>
        <w:tc>
          <w:tcPr>
            <w:tcW w:w="851" w:type="dxa"/>
            <w:vMerge w:val="continue"/>
            <w:vAlign w:val="center"/>
          </w:tcPr>
          <w:p>
            <w:pPr>
              <w:widowControl/>
              <w:spacing w:line="300" w:lineRule="exact"/>
              <w:jc w:val="center"/>
              <w:rPr>
                <w:rFonts w:ascii="Times New Roman" w:hAnsi="Times New Roman" w:eastAsia="仿宋"/>
                <w:kern w:val="0"/>
                <w:sz w:val="24"/>
                <w:szCs w:val="24"/>
              </w:rPr>
            </w:pPr>
          </w:p>
        </w:tc>
        <w:tc>
          <w:tcPr>
            <w:tcW w:w="1701" w:type="dxa"/>
            <w:vMerge w:val="continue"/>
            <w:shd w:val="clear" w:color="auto" w:fill="auto"/>
            <w:vAlign w:val="center"/>
          </w:tcPr>
          <w:p>
            <w:pPr>
              <w:widowControl/>
              <w:spacing w:line="300" w:lineRule="exact"/>
              <w:jc w:val="center"/>
              <w:rPr>
                <w:rFonts w:ascii="Times New Roman" w:hAnsi="Times New Roman" w:eastAsia="仿宋"/>
                <w:kern w:val="0"/>
                <w:sz w:val="24"/>
                <w:szCs w:val="24"/>
              </w:rPr>
            </w:pPr>
          </w:p>
        </w:tc>
        <w:tc>
          <w:tcPr>
            <w:tcW w:w="4929" w:type="dxa"/>
            <w:shd w:val="clear" w:color="auto" w:fill="auto"/>
            <w:vAlign w:val="center"/>
          </w:tcPr>
          <w:p>
            <w:pPr>
              <w:widowControl/>
              <w:spacing w:line="300" w:lineRule="exact"/>
              <w:jc w:val="left"/>
              <w:rPr>
                <w:rFonts w:ascii="仿宋" w:hAnsi="仿宋" w:eastAsia="仿宋"/>
                <w:sz w:val="24"/>
                <w:szCs w:val="24"/>
              </w:rPr>
            </w:pPr>
            <w:r>
              <w:rPr>
                <w:rFonts w:hint="eastAsia" w:ascii="仿宋" w:hAnsi="仿宋" w:eastAsia="仿宋"/>
                <w:sz w:val="24"/>
                <w:szCs w:val="24"/>
              </w:rPr>
              <w:t>其他未按要求履行投资者适当性管理义务的情形。</w:t>
            </w:r>
          </w:p>
        </w:tc>
        <w:tc>
          <w:tcPr>
            <w:tcW w:w="1701" w:type="dxa"/>
            <w:vAlign w:val="center"/>
          </w:tcPr>
          <w:p>
            <w:pPr>
              <w:widowControl/>
              <w:spacing w:line="300" w:lineRule="exact"/>
              <w:jc w:val="center"/>
              <w:rPr>
                <w:rFonts w:ascii="Times New Roman" w:hAnsi="Times New Roman" w:eastAsia="仿宋"/>
                <w:sz w:val="24"/>
                <w:szCs w:val="24"/>
              </w:rPr>
            </w:pPr>
            <w:r>
              <w:rPr>
                <w:rFonts w:ascii="Times New Roman" w:hAnsi="Times New Roman" w:eastAsia="仿宋"/>
                <w:sz w:val="24"/>
                <w:szCs w:val="24"/>
              </w:rPr>
              <w:t>0.5</w:t>
            </w:r>
            <w:r>
              <w:rPr>
                <w:rFonts w:ascii="Times New Roman" w:hAnsi="Times New Roman" w:eastAsia="仿宋"/>
                <w:kern w:val="0"/>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71</w:t>
            </w:r>
          </w:p>
        </w:tc>
        <w:tc>
          <w:tcPr>
            <w:tcW w:w="851" w:type="dxa"/>
            <w:vMerge w:val="continue"/>
            <w:vAlign w:val="center"/>
          </w:tcPr>
          <w:p>
            <w:pPr>
              <w:widowControl/>
              <w:spacing w:line="300" w:lineRule="exact"/>
              <w:jc w:val="center"/>
              <w:rPr>
                <w:rFonts w:ascii="Times New Roman" w:hAnsi="Times New Roman" w:eastAsia="仿宋"/>
                <w:kern w:val="0"/>
                <w:sz w:val="24"/>
                <w:szCs w:val="24"/>
              </w:rPr>
            </w:pPr>
          </w:p>
        </w:tc>
        <w:tc>
          <w:tcPr>
            <w:tcW w:w="1701" w:type="dxa"/>
            <w:vMerge w:val="restart"/>
            <w:shd w:val="clear" w:color="auto" w:fill="auto"/>
            <w:vAlign w:val="center"/>
          </w:tcPr>
          <w:p>
            <w:pPr>
              <w:widowControl/>
              <w:spacing w:line="300" w:lineRule="exact"/>
              <w:jc w:val="center"/>
              <w:rPr>
                <w:rFonts w:ascii="Times New Roman" w:hAnsi="Times New Roman" w:eastAsia="仿宋"/>
                <w:kern w:val="0"/>
                <w:sz w:val="24"/>
                <w:szCs w:val="24"/>
              </w:rPr>
            </w:pPr>
            <w:r>
              <w:rPr>
                <w:rFonts w:hint="eastAsia" w:ascii="Times New Roman" w:hAnsi="Times New Roman" w:eastAsia="仿宋"/>
                <w:kern w:val="0"/>
                <w:sz w:val="24"/>
                <w:szCs w:val="24"/>
              </w:rPr>
              <w:t>客户交易</w:t>
            </w:r>
            <w:r>
              <w:rPr>
                <w:rFonts w:ascii="Times New Roman" w:hAnsi="Times New Roman" w:eastAsia="仿宋"/>
                <w:kern w:val="0"/>
                <w:sz w:val="24"/>
                <w:szCs w:val="24"/>
              </w:rPr>
              <w:t>行为管理</w:t>
            </w:r>
          </w:p>
        </w:tc>
        <w:tc>
          <w:tcPr>
            <w:tcW w:w="4929" w:type="dxa"/>
            <w:shd w:val="clear" w:color="auto" w:fill="auto"/>
            <w:vAlign w:val="center"/>
          </w:tcPr>
          <w:p>
            <w:pPr>
              <w:widowControl/>
              <w:spacing w:line="300" w:lineRule="exact"/>
              <w:jc w:val="left"/>
              <w:rPr>
                <w:rFonts w:ascii="仿宋" w:hAnsi="仿宋" w:eastAsia="仿宋"/>
                <w:sz w:val="24"/>
                <w:szCs w:val="24"/>
              </w:rPr>
            </w:pPr>
            <w:r>
              <w:rPr>
                <w:rFonts w:ascii="Times New Roman" w:hAnsi="Times New Roman" w:eastAsia="仿宋"/>
                <w:kern w:val="0"/>
                <w:sz w:val="24"/>
                <w:szCs w:val="24"/>
              </w:rPr>
              <w:t>对被</w:t>
            </w:r>
            <w:r>
              <w:rPr>
                <w:rFonts w:hint="eastAsia" w:ascii="Times New Roman" w:hAnsi="Times New Roman" w:eastAsia="仿宋"/>
                <w:kern w:val="0"/>
                <w:sz w:val="24"/>
                <w:szCs w:val="24"/>
              </w:rPr>
              <w:t>北交所</w:t>
            </w:r>
            <w:r>
              <w:rPr>
                <w:rFonts w:ascii="Times New Roman" w:hAnsi="Times New Roman" w:eastAsia="仿宋"/>
                <w:kern w:val="0"/>
                <w:sz w:val="24"/>
                <w:szCs w:val="24"/>
              </w:rPr>
              <w:t>或全国股转</w:t>
            </w:r>
            <w:r>
              <w:rPr>
                <w:rFonts w:hint="eastAsia" w:ascii="Times New Roman" w:hAnsi="Times New Roman" w:eastAsia="仿宋"/>
                <w:kern w:val="0"/>
                <w:sz w:val="24"/>
                <w:szCs w:val="24"/>
              </w:rPr>
              <w:t>系统</w:t>
            </w:r>
            <w:r>
              <w:rPr>
                <w:rFonts w:ascii="Times New Roman" w:hAnsi="Times New Roman" w:eastAsia="仿宋"/>
                <w:kern w:val="0"/>
                <w:sz w:val="24"/>
                <w:szCs w:val="24"/>
              </w:rPr>
              <w:t>采取</w:t>
            </w:r>
            <w:r>
              <w:rPr>
                <w:rFonts w:hint="eastAsia" w:ascii="Times New Roman" w:hAnsi="Times New Roman" w:eastAsia="仿宋"/>
                <w:kern w:val="0"/>
                <w:sz w:val="24"/>
                <w:szCs w:val="24"/>
              </w:rPr>
              <w:t>自律监管措施或</w:t>
            </w:r>
            <w:r>
              <w:rPr>
                <w:rFonts w:ascii="Times New Roman" w:hAnsi="Times New Roman" w:eastAsia="仿宋"/>
                <w:kern w:val="0"/>
                <w:sz w:val="24"/>
                <w:szCs w:val="24"/>
              </w:rPr>
              <w:t>纪律处分的客户监管不力。</w:t>
            </w:r>
          </w:p>
        </w:tc>
        <w:tc>
          <w:tcPr>
            <w:tcW w:w="1701" w:type="dxa"/>
            <w:vAlign w:val="center"/>
          </w:tcPr>
          <w:p>
            <w:pPr>
              <w:widowControl/>
              <w:spacing w:line="300" w:lineRule="exact"/>
              <w:jc w:val="center"/>
              <w:rPr>
                <w:rFonts w:ascii="Times New Roman" w:hAnsi="Times New Roman" w:eastAsia="仿宋"/>
                <w:sz w:val="24"/>
                <w:szCs w:val="24"/>
              </w:rPr>
            </w:pPr>
            <w:r>
              <w:rPr>
                <w:rFonts w:ascii="Times New Roman" w:hAnsi="Times New Roman" w:eastAsia="仿宋"/>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72</w:t>
            </w:r>
          </w:p>
        </w:tc>
        <w:tc>
          <w:tcPr>
            <w:tcW w:w="851" w:type="dxa"/>
            <w:vMerge w:val="continue"/>
            <w:vAlign w:val="center"/>
          </w:tcPr>
          <w:p>
            <w:pPr>
              <w:widowControl/>
              <w:spacing w:line="300" w:lineRule="exact"/>
              <w:jc w:val="center"/>
              <w:rPr>
                <w:rFonts w:ascii="Times New Roman" w:hAnsi="Times New Roman" w:eastAsia="仿宋"/>
                <w:kern w:val="0"/>
                <w:sz w:val="24"/>
                <w:szCs w:val="24"/>
              </w:rPr>
            </w:pPr>
          </w:p>
        </w:tc>
        <w:tc>
          <w:tcPr>
            <w:tcW w:w="1701" w:type="dxa"/>
            <w:vMerge w:val="continue"/>
            <w:shd w:val="clear" w:color="auto" w:fill="auto"/>
            <w:vAlign w:val="center"/>
          </w:tcPr>
          <w:p>
            <w:pPr>
              <w:widowControl/>
              <w:spacing w:line="300" w:lineRule="exact"/>
              <w:jc w:val="center"/>
              <w:rPr>
                <w:rFonts w:ascii="Times New Roman" w:hAnsi="Times New Roman" w:eastAsia="仿宋"/>
                <w:kern w:val="0"/>
                <w:sz w:val="24"/>
                <w:szCs w:val="24"/>
              </w:rPr>
            </w:pPr>
          </w:p>
        </w:tc>
        <w:tc>
          <w:tcPr>
            <w:tcW w:w="4929" w:type="dxa"/>
            <w:shd w:val="clear" w:color="auto" w:fill="auto"/>
            <w:vAlign w:val="center"/>
          </w:tcPr>
          <w:p>
            <w:pPr>
              <w:widowControl/>
              <w:spacing w:line="300" w:lineRule="exact"/>
              <w:jc w:val="left"/>
              <w:rPr>
                <w:rFonts w:ascii="仿宋" w:hAnsi="仿宋" w:eastAsia="仿宋"/>
                <w:sz w:val="24"/>
                <w:szCs w:val="24"/>
              </w:rPr>
            </w:pPr>
            <w:r>
              <w:rPr>
                <w:rFonts w:hint="eastAsia" w:ascii="Times New Roman" w:hAnsi="Times New Roman" w:eastAsia="仿宋"/>
                <w:kern w:val="0"/>
                <w:sz w:val="24"/>
                <w:szCs w:val="24"/>
              </w:rPr>
              <w:t>未按要求协助落实北交所</w:t>
            </w:r>
            <w:r>
              <w:rPr>
                <w:rFonts w:ascii="Times New Roman" w:hAnsi="Times New Roman" w:eastAsia="仿宋"/>
                <w:kern w:val="0"/>
                <w:sz w:val="24"/>
                <w:szCs w:val="24"/>
              </w:rPr>
              <w:t>或</w:t>
            </w:r>
            <w:r>
              <w:rPr>
                <w:rFonts w:hint="eastAsia" w:ascii="Times New Roman" w:hAnsi="Times New Roman" w:eastAsia="仿宋"/>
                <w:kern w:val="0"/>
                <w:sz w:val="24"/>
                <w:szCs w:val="24"/>
              </w:rPr>
              <w:t>全国股转系统自律监管措施或纪律处分函件。</w:t>
            </w:r>
          </w:p>
        </w:tc>
        <w:tc>
          <w:tcPr>
            <w:tcW w:w="1701" w:type="dxa"/>
            <w:vAlign w:val="center"/>
          </w:tcPr>
          <w:p>
            <w:pPr>
              <w:widowControl/>
              <w:spacing w:line="300" w:lineRule="exact"/>
              <w:jc w:val="center"/>
              <w:rPr>
                <w:rFonts w:ascii="Times New Roman" w:hAnsi="Times New Roman" w:eastAsia="仿宋"/>
                <w:sz w:val="24"/>
                <w:szCs w:val="24"/>
              </w:rPr>
            </w:pPr>
            <w:r>
              <w:rPr>
                <w:rFonts w:ascii="Times New Roman" w:hAnsi="Times New Roman" w:eastAsia="仿宋"/>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73</w:t>
            </w:r>
          </w:p>
        </w:tc>
        <w:tc>
          <w:tcPr>
            <w:tcW w:w="851" w:type="dxa"/>
            <w:vMerge w:val="continue"/>
            <w:vAlign w:val="center"/>
          </w:tcPr>
          <w:p>
            <w:pPr>
              <w:widowControl/>
              <w:spacing w:line="300" w:lineRule="exact"/>
              <w:jc w:val="center"/>
              <w:rPr>
                <w:rFonts w:ascii="Times New Roman" w:hAnsi="Times New Roman" w:eastAsia="仿宋"/>
                <w:kern w:val="0"/>
                <w:sz w:val="24"/>
                <w:szCs w:val="24"/>
              </w:rPr>
            </w:pPr>
          </w:p>
        </w:tc>
        <w:tc>
          <w:tcPr>
            <w:tcW w:w="1701" w:type="dxa"/>
            <w:shd w:val="clear" w:color="auto" w:fill="auto"/>
            <w:vAlign w:val="center"/>
          </w:tcPr>
          <w:p>
            <w:pPr>
              <w:widowControl/>
              <w:spacing w:line="300" w:lineRule="exact"/>
              <w:jc w:val="center"/>
              <w:rPr>
                <w:rFonts w:ascii="Times New Roman" w:hAnsi="Times New Roman" w:eastAsia="仿宋"/>
                <w:kern w:val="0"/>
                <w:sz w:val="24"/>
                <w:szCs w:val="24"/>
              </w:rPr>
            </w:pPr>
            <w:r>
              <w:rPr>
                <w:rFonts w:hint="eastAsia" w:ascii="Times New Roman" w:hAnsi="Times New Roman" w:eastAsia="仿宋"/>
                <w:kern w:val="0"/>
                <w:sz w:val="24"/>
                <w:szCs w:val="24"/>
              </w:rPr>
              <w:t>其他</w:t>
            </w:r>
          </w:p>
        </w:tc>
        <w:tc>
          <w:tcPr>
            <w:tcW w:w="4929" w:type="dxa"/>
            <w:shd w:val="clear" w:color="auto" w:fill="auto"/>
            <w:vAlign w:val="center"/>
          </w:tcPr>
          <w:p>
            <w:pPr>
              <w:widowControl/>
              <w:spacing w:line="300" w:lineRule="exact"/>
              <w:jc w:val="left"/>
              <w:rPr>
                <w:rFonts w:ascii="Times New Roman" w:hAnsi="Times New Roman" w:eastAsia="仿宋"/>
                <w:kern w:val="0"/>
                <w:sz w:val="24"/>
                <w:szCs w:val="24"/>
              </w:rPr>
            </w:pPr>
            <w:r>
              <w:rPr>
                <w:rFonts w:ascii="Times New Roman" w:hAnsi="Times New Roman" w:eastAsia="仿宋"/>
                <w:kern w:val="0"/>
                <w:sz w:val="24"/>
                <w:szCs w:val="24"/>
              </w:rPr>
              <w:t>其他发现的负面监管事项。</w:t>
            </w:r>
          </w:p>
        </w:tc>
        <w:tc>
          <w:tcPr>
            <w:tcW w:w="1701" w:type="dxa"/>
            <w:vAlign w:val="center"/>
          </w:tcPr>
          <w:p>
            <w:pPr>
              <w:widowControl/>
              <w:spacing w:line="300" w:lineRule="exact"/>
              <w:jc w:val="center"/>
              <w:rPr>
                <w:rFonts w:ascii="Times New Roman" w:hAnsi="Times New Roman" w:eastAsia="仿宋"/>
                <w:kern w:val="0"/>
                <w:sz w:val="24"/>
                <w:szCs w:val="24"/>
              </w:rPr>
            </w:pPr>
            <w:r>
              <w:rPr>
                <w:rFonts w:ascii="Times New Roman" w:hAnsi="Times New Roman" w:eastAsia="仿宋"/>
                <w:kern w:val="0"/>
                <w:sz w:val="24"/>
                <w:szCs w:val="24"/>
              </w:rPr>
              <w:t>0.5~1.5</w:t>
            </w:r>
          </w:p>
        </w:tc>
      </w:tr>
    </w:tbl>
    <w:p>
      <w:pPr>
        <w:widowControl/>
        <w:rPr>
          <w:rFonts w:ascii="Times New Roman" w:hAnsi="Times New Roman" w:eastAsia="仿宋"/>
          <w:b/>
        </w:rPr>
      </w:pPr>
    </w:p>
    <w:p>
      <w:pPr>
        <w:widowControl/>
        <w:rPr>
          <w:rFonts w:ascii="Times New Roman" w:hAnsi="Times New Roman" w:eastAsia="仿宋"/>
          <w:b/>
        </w:rPr>
      </w:pPr>
      <w:r>
        <w:rPr>
          <w:rFonts w:ascii="Times New Roman" w:hAnsi="Times New Roman" w:eastAsia="仿宋"/>
          <w:b/>
        </w:rPr>
        <w:t>说明:</w:t>
      </w:r>
    </w:p>
    <w:p>
      <w:pPr>
        <w:widowControl/>
        <w:numPr>
          <w:ilvl w:val="0"/>
          <w:numId w:val="1"/>
        </w:numPr>
        <w:rPr>
          <w:rFonts w:ascii="Times New Roman" w:hAnsi="Times New Roman" w:eastAsia="仿宋"/>
        </w:rPr>
      </w:pPr>
      <w:r>
        <w:rPr>
          <w:rFonts w:ascii="Times New Roman" w:hAnsi="Times New Roman" w:eastAsia="仿宋"/>
        </w:rPr>
        <w:t>第1条主要指申报时信息披露文件</w:t>
      </w:r>
      <w:r>
        <w:rPr>
          <w:rFonts w:hint="eastAsia" w:ascii="Times New Roman" w:hAnsi="Times New Roman" w:eastAsia="仿宋"/>
        </w:rPr>
        <w:t>未按照中国证监会及北交所关于向</w:t>
      </w:r>
      <w:r>
        <w:rPr>
          <w:rFonts w:ascii="Times New Roman" w:hAnsi="Times New Roman" w:eastAsia="仿宋"/>
        </w:rPr>
        <w:t>不特定合格投资者</w:t>
      </w:r>
      <w:r>
        <w:rPr>
          <w:rFonts w:hint="eastAsia" w:ascii="Times New Roman" w:hAnsi="Times New Roman" w:eastAsia="仿宋"/>
        </w:rPr>
        <w:t>公开发行并在</w:t>
      </w:r>
      <w:r>
        <w:rPr>
          <w:rFonts w:ascii="Times New Roman" w:hAnsi="Times New Roman" w:eastAsia="仿宋"/>
        </w:rPr>
        <w:t>北交所</w:t>
      </w:r>
      <w:r>
        <w:rPr>
          <w:rFonts w:hint="eastAsia" w:ascii="Times New Roman" w:hAnsi="Times New Roman" w:eastAsia="仿宋"/>
        </w:rPr>
        <w:t>上市、北交所</w:t>
      </w:r>
      <w:r>
        <w:rPr>
          <w:rFonts w:ascii="Times New Roman" w:hAnsi="Times New Roman" w:eastAsia="仿宋"/>
        </w:rPr>
        <w:t>上市公司证券发行</w:t>
      </w:r>
      <w:r>
        <w:rPr>
          <w:rFonts w:hint="eastAsia" w:ascii="Times New Roman" w:hAnsi="Times New Roman" w:eastAsia="仿宋"/>
        </w:rPr>
        <w:t>、重大资产重组等规则规定</w:t>
      </w:r>
      <w:r>
        <w:rPr>
          <w:rFonts w:ascii="Times New Roman" w:hAnsi="Times New Roman" w:eastAsia="仿宋"/>
        </w:rPr>
        <w:t>履行相应信息披露要求。</w:t>
      </w:r>
    </w:p>
    <w:p>
      <w:pPr>
        <w:widowControl/>
        <w:numPr>
          <w:ilvl w:val="0"/>
          <w:numId w:val="1"/>
        </w:numPr>
        <w:rPr>
          <w:rFonts w:ascii="Times New Roman" w:hAnsi="Times New Roman" w:eastAsia="仿宋"/>
        </w:rPr>
      </w:pPr>
      <w:r>
        <w:rPr>
          <w:rFonts w:hint="eastAsia" w:ascii="Times New Roman" w:hAnsi="Times New Roman" w:eastAsia="仿宋"/>
        </w:rPr>
        <w:t>第</w:t>
      </w:r>
      <w:r>
        <w:rPr>
          <w:rFonts w:ascii="Times New Roman" w:hAnsi="Times New Roman" w:eastAsia="仿宋"/>
        </w:rPr>
        <w:t>2</w:t>
      </w:r>
      <w:r>
        <w:rPr>
          <w:rFonts w:hint="eastAsia" w:ascii="Times New Roman" w:hAnsi="Times New Roman" w:eastAsia="仿宋"/>
        </w:rPr>
        <w:t>条主要指申报时信息披露文件存在影响准确性完整性的瑕疵，典型情形如：财务报表或其他应披露的重要数据存在错误，重大合同披露错误，遗漏披露关联方及关联交易披露不完整准确，基本情况、业务与行业情况披露有误影响投资者决策，以及其他披露事项有误予以更正等。</w:t>
      </w:r>
    </w:p>
    <w:p>
      <w:pPr>
        <w:widowControl/>
        <w:numPr>
          <w:ilvl w:val="0"/>
          <w:numId w:val="1"/>
        </w:numPr>
        <w:rPr>
          <w:rFonts w:ascii="Times New Roman" w:hAnsi="Times New Roman" w:eastAsia="仿宋"/>
        </w:rPr>
      </w:pPr>
      <w:r>
        <w:rPr>
          <w:rFonts w:ascii="Times New Roman" w:hAnsi="Times New Roman" w:eastAsia="仿宋"/>
        </w:rPr>
        <w:t>第4条主要指回复和申报文件不一致，或数次回复不一致，或</w:t>
      </w:r>
      <w:r>
        <w:rPr>
          <w:rFonts w:hint="eastAsia" w:ascii="Times New Roman" w:hAnsi="Times New Roman" w:eastAsia="仿宋"/>
        </w:rPr>
        <w:t>证券公司、</w:t>
      </w:r>
      <w:r>
        <w:rPr>
          <w:rFonts w:ascii="Times New Roman" w:hAnsi="Times New Roman" w:eastAsia="仿宋"/>
        </w:rPr>
        <w:t>会计师</w:t>
      </w:r>
      <w:r>
        <w:rPr>
          <w:rFonts w:hint="eastAsia" w:ascii="Times New Roman" w:hAnsi="Times New Roman" w:eastAsia="仿宋"/>
        </w:rPr>
        <w:t>事务所、</w:t>
      </w:r>
      <w:r>
        <w:rPr>
          <w:rFonts w:ascii="Times New Roman" w:hAnsi="Times New Roman" w:eastAsia="仿宋"/>
        </w:rPr>
        <w:t>律师</w:t>
      </w:r>
      <w:r>
        <w:rPr>
          <w:rFonts w:hint="eastAsia" w:ascii="Times New Roman" w:hAnsi="Times New Roman" w:eastAsia="仿宋"/>
        </w:rPr>
        <w:t>事务所</w:t>
      </w:r>
      <w:r>
        <w:rPr>
          <w:rFonts w:ascii="Times New Roman" w:hAnsi="Times New Roman" w:eastAsia="仿宋"/>
        </w:rPr>
        <w:t>等</w:t>
      </w:r>
      <w:r>
        <w:rPr>
          <w:rFonts w:hint="eastAsia" w:ascii="Times New Roman" w:hAnsi="Times New Roman" w:eastAsia="仿宋"/>
        </w:rPr>
        <w:t>中介</w:t>
      </w:r>
      <w:r>
        <w:rPr>
          <w:rFonts w:ascii="Times New Roman" w:hAnsi="Times New Roman" w:eastAsia="仿宋"/>
        </w:rPr>
        <w:t>机构之间</w:t>
      </w:r>
      <w:r>
        <w:rPr>
          <w:rFonts w:hint="eastAsia" w:ascii="Times New Roman" w:hAnsi="Times New Roman" w:eastAsia="仿宋"/>
        </w:rPr>
        <w:t>意见</w:t>
      </w:r>
      <w:r>
        <w:rPr>
          <w:rFonts w:ascii="Times New Roman" w:hAnsi="Times New Roman" w:eastAsia="仿宋"/>
        </w:rPr>
        <w:t>不一致。</w:t>
      </w:r>
    </w:p>
    <w:p>
      <w:pPr>
        <w:widowControl/>
        <w:numPr>
          <w:ilvl w:val="0"/>
          <w:numId w:val="1"/>
        </w:numPr>
        <w:rPr>
          <w:rFonts w:ascii="Times New Roman" w:hAnsi="Times New Roman" w:eastAsia="仿宋"/>
        </w:rPr>
      </w:pPr>
      <w:r>
        <w:rPr>
          <w:rFonts w:hint="eastAsia" w:ascii="Times New Roman" w:hAnsi="Times New Roman" w:eastAsia="仿宋"/>
        </w:rPr>
        <w:t>第</w:t>
      </w:r>
      <w:r>
        <w:rPr>
          <w:rFonts w:ascii="Times New Roman" w:hAnsi="Times New Roman" w:eastAsia="仿宋"/>
        </w:rPr>
        <w:t>5</w:t>
      </w:r>
      <w:r>
        <w:rPr>
          <w:rFonts w:hint="eastAsia" w:ascii="Times New Roman" w:hAnsi="Times New Roman" w:eastAsia="仿宋"/>
        </w:rPr>
        <w:t>条中未按照问询</w:t>
      </w:r>
      <w:r>
        <w:rPr>
          <w:rFonts w:ascii="Times New Roman" w:hAnsi="Times New Roman" w:eastAsia="仿宋"/>
        </w:rPr>
        <w:t>、</w:t>
      </w:r>
      <w:r>
        <w:rPr>
          <w:rFonts w:hint="eastAsia" w:ascii="Times New Roman" w:hAnsi="Times New Roman" w:eastAsia="仿宋"/>
        </w:rPr>
        <w:t>反馈意见要求回复主要指应回复未回复，未按反馈意见或</w:t>
      </w:r>
      <w:r>
        <w:rPr>
          <w:rFonts w:ascii="Times New Roman" w:hAnsi="Times New Roman" w:eastAsia="仿宋"/>
        </w:rPr>
        <w:t>问询</w:t>
      </w:r>
      <w:r>
        <w:rPr>
          <w:rFonts w:hint="eastAsia" w:ascii="Times New Roman" w:hAnsi="Times New Roman" w:eastAsia="仿宋"/>
        </w:rPr>
        <w:t>补充披露、发表意见或提交文件等，反馈意见包括且不限于项目审查、举报、监管等。</w:t>
      </w:r>
    </w:p>
    <w:p>
      <w:pPr>
        <w:widowControl/>
        <w:numPr>
          <w:ilvl w:val="0"/>
          <w:numId w:val="1"/>
        </w:numPr>
        <w:rPr>
          <w:rFonts w:ascii="Times New Roman" w:hAnsi="Times New Roman" w:eastAsia="仿宋"/>
        </w:rPr>
      </w:pPr>
      <w:r>
        <w:rPr>
          <w:rFonts w:hint="eastAsia" w:ascii="Times New Roman" w:hAnsi="Times New Roman" w:eastAsia="仿宋"/>
        </w:rPr>
        <w:t>第</w:t>
      </w:r>
      <w:r>
        <w:rPr>
          <w:rFonts w:ascii="Times New Roman" w:hAnsi="Times New Roman" w:eastAsia="仿宋"/>
        </w:rPr>
        <w:t>1</w:t>
      </w:r>
      <w:r>
        <w:rPr>
          <w:rFonts w:hint="eastAsia" w:ascii="Times New Roman" w:hAnsi="Times New Roman" w:eastAsia="仿宋"/>
        </w:rPr>
        <w:t>3条主要情形包括但不限于：（</w:t>
      </w:r>
      <w:r>
        <w:rPr>
          <w:rFonts w:ascii="Times New Roman" w:hAnsi="Times New Roman" w:eastAsia="仿宋"/>
        </w:rPr>
        <w:t>1</w:t>
      </w:r>
      <w:r>
        <w:rPr>
          <w:rFonts w:hint="eastAsia" w:ascii="Times New Roman" w:hAnsi="Times New Roman" w:eastAsia="仿宋"/>
        </w:rPr>
        <w:t>）在发行承销系统应填报的发行信息未填写、填写错误或前后不一致；（</w:t>
      </w:r>
      <w:r>
        <w:rPr>
          <w:rFonts w:ascii="Times New Roman" w:hAnsi="Times New Roman" w:eastAsia="仿宋"/>
        </w:rPr>
        <w:t>2</w:t>
      </w:r>
      <w:r>
        <w:rPr>
          <w:rFonts w:hint="eastAsia" w:ascii="Times New Roman" w:hAnsi="Times New Roman" w:eastAsia="仿宋"/>
        </w:rPr>
        <w:t>）提交的信息披露文件发行相关数据存在错误。</w:t>
      </w:r>
    </w:p>
    <w:p>
      <w:pPr>
        <w:widowControl/>
        <w:numPr>
          <w:ilvl w:val="0"/>
          <w:numId w:val="1"/>
        </w:numPr>
        <w:rPr>
          <w:rFonts w:ascii="Times New Roman" w:hAnsi="Times New Roman" w:eastAsia="仿宋"/>
        </w:rPr>
      </w:pPr>
      <w:r>
        <w:rPr>
          <w:rFonts w:hint="eastAsia" w:ascii="Times New Roman" w:hAnsi="Times New Roman" w:eastAsia="仿宋"/>
        </w:rPr>
        <w:t>第</w:t>
      </w:r>
      <w:r>
        <w:rPr>
          <w:rFonts w:ascii="Times New Roman" w:hAnsi="Times New Roman" w:eastAsia="仿宋"/>
        </w:rPr>
        <w:t>1</w:t>
      </w:r>
      <w:r>
        <w:rPr>
          <w:rFonts w:hint="eastAsia" w:ascii="Times New Roman" w:hAnsi="Times New Roman" w:eastAsia="仿宋"/>
        </w:rPr>
        <w:t>4条中发行承销文件不齐备主要指以下文件：（</w:t>
      </w:r>
      <w:r>
        <w:rPr>
          <w:rFonts w:ascii="Times New Roman" w:hAnsi="Times New Roman" w:eastAsia="仿宋"/>
        </w:rPr>
        <w:t>1</w:t>
      </w:r>
      <w:r>
        <w:rPr>
          <w:rFonts w:hint="eastAsia" w:ascii="Times New Roman" w:hAnsi="Times New Roman" w:eastAsia="仿宋"/>
        </w:rPr>
        <w:t>）发行承销阶段需要通过系统提交的必要文件；（</w:t>
      </w:r>
      <w:r>
        <w:rPr>
          <w:rFonts w:ascii="Times New Roman" w:hAnsi="Times New Roman" w:eastAsia="仿宋"/>
        </w:rPr>
        <w:t>2</w:t>
      </w:r>
      <w:r>
        <w:rPr>
          <w:rFonts w:hint="eastAsia" w:ascii="Times New Roman" w:hAnsi="Times New Roman" w:eastAsia="仿宋"/>
        </w:rPr>
        <w:t>）延期发行的，延期发行公告、投资风险特别公告文件；（</w:t>
      </w:r>
      <w:r>
        <w:rPr>
          <w:rFonts w:ascii="Times New Roman" w:hAnsi="Times New Roman" w:eastAsia="仿宋"/>
        </w:rPr>
        <w:t>3</w:t>
      </w:r>
      <w:r>
        <w:rPr>
          <w:rFonts w:hint="eastAsia" w:ascii="Times New Roman" w:hAnsi="Times New Roman" w:eastAsia="仿宋"/>
        </w:rPr>
        <w:t>）需更正公告的，更正公告、更正说明、更正后的公告。</w:t>
      </w:r>
    </w:p>
    <w:p>
      <w:pPr>
        <w:widowControl/>
        <w:numPr>
          <w:ilvl w:val="0"/>
          <w:numId w:val="1"/>
        </w:numPr>
        <w:rPr>
          <w:rFonts w:ascii="Times New Roman" w:hAnsi="Times New Roman" w:eastAsia="仿宋"/>
        </w:rPr>
      </w:pPr>
      <w:r>
        <w:rPr>
          <w:rFonts w:ascii="Times New Roman" w:hAnsi="Times New Roman" w:eastAsia="仿宋"/>
        </w:rPr>
        <w:t>第</w:t>
      </w:r>
      <w:r>
        <w:rPr>
          <w:rFonts w:hint="eastAsia" w:ascii="Times New Roman" w:hAnsi="Times New Roman" w:eastAsia="仿宋"/>
        </w:rPr>
        <w:t>27</w:t>
      </w:r>
      <w:r>
        <w:rPr>
          <w:rFonts w:ascii="Times New Roman" w:hAnsi="Times New Roman" w:eastAsia="仿宋"/>
        </w:rPr>
        <w:t>条主要指申报时信息披露文件未按照挂牌条件的相关规则、公开转让说明书内容与格式指引、信息披露指引以及审查期间信息披露的通知等与信息披露有关规则的规定履行相应信息披露要求。</w:t>
      </w:r>
    </w:p>
    <w:p>
      <w:pPr>
        <w:widowControl/>
        <w:numPr>
          <w:ilvl w:val="0"/>
          <w:numId w:val="1"/>
        </w:numPr>
        <w:rPr>
          <w:rFonts w:ascii="Times New Roman" w:hAnsi="Times New Roman" w:eastAsia="仿宋"/>
        </w:rPr>
      </w:pPr>
      <w:r>
        <w:rPr>
          <w:rFonts w:hint="eastAsia" w:ascii="Times New Roman" w:hAnsi="Times New Roman" w:eastAsia="仿宋"/>
        </w:rPr>
        <w:t>第28条主要指申报时信息披露文件存在影响准确性完整性的瑕疵，典型情形如：财务报表或其他应披露的重要数据存在错误，重大合同披露错误，遗漏披露关联方及关联交易披露不完整准确，基本情况、业务与行业情况披露有误影响投资者决策，以及其他披露事项有误予以更正等。</w:t>
      </w:r>
    </w:p>
    <w:p>
      <w:pPr>
        <w:widowControl/>
        <w:numPr>
          <w:ilvl w:val="0"/>
          <w:numId w:val="1"/>
        </w:numPr>
        <w:rPr>
          <w:rFonts w:ascii="Times New Roman" w:hAnsi="Times New Roman" w:eastAsia="仿宋"/>
        </w:rPr>
      </w:pPr>
      <w:r>
        <w:rPr>
          <w:rFonts w:ascii="Times New Roman" w:hAnsi="Times New Roman" w:eastAsia="仿宋"/>
        </w:rPr>
        <w:t>第</w:t>
      </w:r>
      <w:r>
        <w:rPr>
          <w:rFonts w:ascii="Times New Roman" w:hAnsi="Times New Roman" w:eastAsia="仿宋"/>
          <w:lang w:val="en"/>
        </w:rPr>
        <w:t>3</w:t>
      </w:r>
      <w:r>
        <w:rPr>
          <w:rFonts w:hint="eastAsia" w:ascii="Times New Roman" w:hAnsi="Times New Roman" w:eastAsia="仿宋"/>
        </w:rPr>
        <w:t>0</w:t>
      </w:r>
      <w:r>
        <w:rPr>
          <w:rFonts w:ascii="Times New Roman" w:hAnsi="Times New Roman" w:eastAsia="仿宋"/>
        </w:rPr>
        <w:t>条主要指回复和申报文件不一致，或数次回复不一致，或</w:t>
      </w:r>
      <w:r>
        <w:rPr>
          <w:rFonts w:hint="eastAsia" w:ascii="Times New Roman" w:hAnsi="Times New Roman" w:eastAsia="仿宋"/>
        </w:rPr>
        <w:t>证券公司、</w:t>
      </w:r>
      <w:r>
        <w:rPr>
          <w:rFonts w:ascii="Times New Roman" w:hAnsi="Times New Roman" w:eastAsia="仿宋"/>
        </w:rPr>
        <w:t>会计师</w:t>
      </w:r>
      <w:r>
        <w:rPr>
          <w:rFonts w:hint="eastAsia" w:ascii="Times New Roman" w:hAnsi="Times New Roman" w:eastAsia="仿宋"/>
        </w:rPr>
        <w:t>事务所、</w:t>
      </w:r>
      <w:r>
        <w:rPr>
          <w:rFonts w:ascii="Times New Roman" w:hAnsi="Times New Roman" w:eastAsia="仿宋"/>
        </w:rPr>
        <w:t>律师</w:t>
      </w:r>
      <w:r>
        <w:rPr>
          <w:rFonts w:hint="eastAsia" w:ascii="Times New Roman" w:hAnsi="Times New Roman" w:eastAsia="仿宋"/>
        </w:rPr>
        <w:t>事务所</w:t>
      </w:r>
      <w:r>
        <w:rPr>
          <w:rFonts w:ascii="Times New Roman" w:hAnsi="Times New Roman" w:eastAsia="仿宋"/>
        </w:rPr>
        <w:t>等</w:t>
      </w:r>
      <w:r>
        <w:rPr>
          <w:rFonts w:hint="eastAsia" w:ascii="Times New Roman" w:hAnsi="Times New Roman" w:eastAsia="仿宋"/>
        </w:rPr>
        <w:t>中介</w:t>
      </w:r>
      <w:r>
        <w:rPr>
          <w:rFonts w:ascii="Times New Roman" w:hAnsi="Times New Roman" w:eastAsia="仿宋"/>
        </w:rPr>
        <w:t>机构之间</w:t>
      </w:r>
      <w:r>
        <w:rPr>
          <w:rFonts w:hint="eastAsia" w:ascii="Times New Roman" w:hAnsi="Times New Roman" w:eastAsia="仿宋"/>
        </w:rPr>
        <w:t>意见</w:t>
      </w:r>
      <w:r>
        <w:rPr>
          <w:rFonts w:ascii="Times New Roman" w:hAnsi="Times New Roman" w:eastAsia="仿宋"/>
        </w:rPr>
        <w:t>不一致。</w:t>
      </w:r>
    </w:p>
    <w:p>
      <w:pPr>
        <w:widowControl/>
        <w:numPr>
          <w:ilvl w:val="0"/>
          <w:numId w:val="1"/>
        </w:numPr>
        <w:rPr>
          <w:rFonts w:ascii="Times New Roman" w:hAnsi="Times New Roman" w:eastAsia="仿宋"/>
        </w:rPr>
      </w:pPr>
      <w:r>
        <w:rPr>
          <w:rFonts w:hint="eastAsia" w:ascii="Times New Roman" w:hAnsi="Times New Roman" w:eastAsia="仿宋"/>
        </w:rPr>
        <w:t>第</w:t>
      </w:r>
      <w:r>
        <w:rPr>
          <w:rFonts w:ascii="Times New Roman" w:hAnsi="Times New Roman" w:eastAsia="仿宋"/>
          <w:lang w:val="en"/>
        </w:rPr>
        <w:t>3</w:t>
      </w:r>
      <w:r>
        <w:rPr>
          <w:rFonts w:hint="eastAsia" w:ascii="Times New Roman" w:hAnsi="Times New Roman" w:eastAsia="仿宋"/>
        </w:rPr>
        <w:t>1条中未按照问询</w:t>
      </w:r>
      <w:r>
        <w:rPr>
          <w:rFonts w:ascii="Times New Roman" w:hAnsi="Times New Roman" w:eastAsia="仿宋"/>
        </w:rPr>
        <w:t>、</w:t>
      </w:r>
      <w:r>
        <w:rPr>
          <w:rFonts w:hint="eastAsia" w:ascii="Times New Roman" w:hAnsi="Times New Roman" w:eastAsia="仿宋"/>
        </w:rPr>
        <w:t>反馈意见要求回复主要指应回复未回复，未按反馈意见或</w:t>
      </w:r>
      <w:r>
        <w:rPr>
          <w:rFonts w:ascii="Times New Roman" w:hAnsi="Times New Roman" w:eastAsia="仿宋"/>
        </w:rPr>
        <w:t>问询</w:t>
      </w:r>
      <w:r>
        <w:rPr>
          <w:rFonts w:hint="eastAsia" w:ascii="Times New Roman" w:hAnsi="Times New Roman" w:eastAsia="仿宋"/>
        </w:rPr>
        <w:t>补充披露、发表意见或提交文件等，反馈意见包括且不限于项目审查、举报、监管等。</w:t>
      </w:r>
    </w:p>
    <w:p>
      <w:pPr>
        <w:widowControl/>
        <w:numPr>
          <w:ilvl w:val="0"/>
          <w:numId w:val="1"/>
        </w:numPr>
        <w:rPr>
          <w:rFonts w:ascii="Times New Roman" w:hAnsi="Times New Roman" w:eastAsia="仿宋"/>
        </w:rPr>
      </w:pPr>
      <w:r>
        <w:rPr>
          <w:rFonts w:ascii="Times New Roman" w:hAnsi="Times New Roman" w:eastAsia="仿宋"/>
        </w:rPr>
        <w:t>第</w:t>
      </w:r>
      <w:r>
        <w:rPr>
          <w:rFonts w:hint="eastAsia" w:ascii="Times New Roman" w:hAnsi="Times New Roman" w:eastAsia="仿宋"/>
        </w:rPr>
        <w:t>48</w:t>
      </w:r>
      <w:r>
        <w:rPr>
          <w:rFonts w:ascii="Times New Roman" w:hAnsi="Times New Roman" w:eastAsia="仿宋"/>
        </w:rPr>
        <w:t>条主要指</w:t>
      </w:r>
      <w:r>
        <w:rPr>
          <w:rFonts w:hint="eastAsia" w:ascii="Times New Roman" w:hAnsi="Times New Roman" w:eastAsia="仿宋"/>
        </w:rPr>
        <w:t>停复牌</w:t>
      </w:r>
      <w:r>
        <w:rPr>
          <w:rFonts w:ascii="Times New Roman" w:hAnsi="Times New Roman" w:eastAsia="仿宋"/>
        </w:rPr>
        <w:t>、新增股份挂牌、限售/解除限售、全称/简称变更等日常业务的办理不符合相关业务指南或通知等的要求。</w:t>
      </w:r>
    </w:p>
    <w:p>
      <w:pPr>
        <w:widowControl/>
        <w:numPr>
          <w:ilvl w:val="0"/>
          <w:numId w:val="1"/>
        </w:numPr>
        <w:rPr>
          <w:rFonts w:ascii="Times New Roman" w:hAnsi="Times New Roman" w:eastAsia="仿宋"/>
        </w:rPr>
      </w:pPr>
      <w:r>
        <w:rPr>
          <w:rFonts w:ascii="Times New Roman" w:hAnsi="Times New Roman" w:eastAsia="仿宋"/>
        </w:rPr>
        <w:t>第</w:t>
      </w:r>
      <w:r>
        <w:rPr>
          <w:rFonts w:hint="eastAsia" w:ascii="Times New Roman" w:hAnsi="Times New Roman" w:eastAsia="仿宋"/>
        </w:rPr>
        <w:t>49</w:t>
      </w:r>
      <w:r>
        <w:rPr>
          <w:rFonts w:ascii="Times New Roman" w:hAnsi="Times New Roman" w:eastAsia="仿宋"/>
        </w:rPr>
        <w:t>条主要指</w:t>
      </w:r>
      <w:r>
        <w:rPr>
          <w:rFonts w:hint="eastAsia" w:ascii="Times New Roman" w:hAnsi="Times New Roman" w:eastAsia="仿宋"/>
        </w:rPr>
        <w:t>证券公司</w:t>
      </w:r>
      <w:r>
        <w:rPr>
          <w:rFonts w:ascii="Times New Roman" w:hAnsi="Times New Roman" w:eastAsia="仿宋"/>
        </w:rPr>
        <w:t>通过BPM系统报送的挂牌公司董</w:t>
      </w:r>
      <w:r>
        <w:rPr>
          <w:rFonts w:hint="eastAsia" w:ascii="Times New Roman" w:hAnsi="Times New Roman" w:eastAsia="仿宋"/>
        </w:rPr>
        <w:t>事、</w:t>
      </w:r>
      <w:r>
        <w:rPr>
          <w:rFonts w:ascii="Times New Roman" w:hAnsi="Times New Roman" w:eastAsia="仿宋"/>
        </w:rPr>
        <w:t>监</w:t>
      </w:r>
      <w:r>
        <w:rPr>
          <w:rFonts w:hint="eastAsia" w:ascii="Times New Roman" w:hAnsi="Times New Roman" w:eastAsia="仿宋"/>
        </w:rPr>
        <w:t>事或</w:t>
      </w:r>
      <w:r>
        <w:rPr>
          <w:rFonts w:ascii="Times New Roman" w:hAnsi="Times New Roman" w:eastAsia="仿宋"/>
        </w:rPr>
        <w:t>高</w:t>
      </w:r>
      <w:r>
        <w:rPr>
          <w:rFonts w:hint="eastAsia" w:ascii="Times New Roman" w:hAnsi="Times New Roman" w:eastAsia="仿宋"/>
        </w:rPr>
        <w:t>级</w:t>
      </w:r>
      <w:r>
        <w:rPr>
          <w:rFonts w:ascii="Times New Roman" w:hAnsi="Times New Roman" w:eastAsia="仿宋"/>
        </w:rPr>
        <w:t>管理人员姓名、证件类型或证件号码等信息有误。</w:t>
      </w:r>
    </w:p>
    <w:p>
      <w:pPr>
        <w:widowControl/>
        <w:numPr>
          <w:ilvl w:val="0"/>
          <w:numId w:val="1"/>
        </w:numPr>
        <w:rPr>
          <w:rFonts w:ascii="Times New Roman" w:hAnsi="Times New Roman" w:eastAsia="仿宋"/>
        </w:rPr>
      </w:pPr>
      <w:r>
        <w:rPr>
          <w:rFonts w:hint="eastAsia" w:ascii="Times New Roman" w:hAnsi="Times New Roman" w:eastAsia="仿宋"/>
        </w:rPr>
        <w:t>第57</w:t>
      </w:r>
      <w:r>
        <w:rPr>
          <w:rFonts w:ascii="Times New Roman" w:hAnsi="Times New Roman" w:eastAsia="仿宋"/>
          <w:lang w:val="en"/>
        </w:rPr>
        <w:t>-</w:t>
      </w:r>
      <w:r>
        <w:rPr>
          <w:rFonts w:hint="eastAsia" w:ascii="Times New Roman" w:hAnsi="Times New Roman" w:eastAsia="仿宋"/>
        </w:rPr>
        <w:t>61条中情节调整系数是指，在评价期内，做市商单项负面行为发生次数每达到该季度日均做市股票数量的10%，记录1条负面行为，最多记录4条；</w:t>
      </w:r>
      <w:r>
        <w:rPr>
          <w:rFonts w:ascii="Times New Roman" w:hAnsi="Times New Roman" w:eastAsia="仿宋"/>
        </w:rPr>
        <w:t>不足</w:t>
      </w:r>
      <w:r>
        <w:rPr>
          <w:rFonts w:hint="eastAsia" w:ascii="Times New Roman" w:hAnsi="Times New Roman" w:eastAsia="仿宋"/>
        </w:rPr>
        <w:t>10</w:t>
      </w:r>
      <w:r>
        <w:rPr>
          <w:rFonts w:ascii="Times New Roman" w:hAnsi="Times New Roman" w:eastAsia="仿宋"/>
        </w:rPr>
        <w:t>%的，不记录负面行为</w:t>
      </w:r>
      <w:r>
        <w:rPr>
          <w:rFonts w:hint="eastAsia" w:ascii="Times New Roman" w:hAnsi="Times New Roman" w:eastAsia="仿宋"/>
        </w:rPr>
        <w:t>。</w:t>
      </w:r>
    </w:p>
    <w:p>
      <w:pPr>
        <w:pStyle w:val="9"/>
        <w:numPr>
          <w:ilvl w:val="0"/>
          <w:numId w:val="1"/>
        </w:numPr>
        <w:ind w:firstLineChars="0"/>
        <w:rPr>
          <w:rFonts w:ascii="Times New Roman" w:hAnsi="Times New Roman" w:eastAsia="仿宋"/>
        </w:rPr>
      </w:pPr>
      <w:r>
        <w:rPr>
          <w:rFonts w:hint="eastAsia" w:ascii="Times New Roman" w:hAnsi="Times New Roman" w:eastAsia="仿宋"/>
        </w:rPr>
        <w:t>第62条主要指做市商在为做市股票提供做市报价服务期间，在3个交易日内，对同一股票触发规则要求的买入和卖出报价豁免条件次数合计3次及以上的情形。</w:t>
      </w:r>
    </w:p>
    <w:p>
      <w:pPr>
        <w:widowControl/>
        <w:numPr>
          <w:ilvl w:val="0"/>
          <w:numId w:val="1"/>
        </w:numPr>
        <w:rPr>
          <w:rFonts w:ascii="Times New Roman" w:hAnsi="Times New Roman" w:eastAsia="仿宋"/>
        </w:rPr>
      </w:pPr>
      <w:r>
        <w:rPr>
          <w:rFonts w:ascii="Times New Roman" w:hAnsi="Times New Roman" w:eastAsia="仿宋"/>
        </w:rPr>
        <w:t>第</w:t>
      </w:r>
      <w:r>
        <w:rPr>
          <w:rFonts w:hint="eastAsia" w:ascii="Times New Roman" w:hAnsi="Times New Roman" w:eastAsia="仿宋"/>
        </w:rPr>
        <w:t>6</w:t>
      </w:r>
      <w:r>
        <w:rPr>
          <w:rFonts w:hint="eastAsia" w:ascii="Times New Roman" w:hAnsi="Times New Roman" w:eastAsia="仿宋"/>
          <w:lang w:val="en-US" w:eastAsia="zh-CN"/>
        </w:rPr>
        <w:t>4</w:t>
      </w:r>
      <w:r>
        <w:rPr>
          <w:rFonts w:ascii="Times New Roman" w:hAnsi="Times New Roman" w:eastAsia="仿宋"/>
        </w:rPr>
        <w:t>条</w:t>
      </w:r>
      <w:r>
        <w:rPr>
          <w:rFonts w:hint="eastAsia" w:ascii="Times New Roman" w:hAnsi="Times New Roman" w:eastAsia="仿宋"/>
        </w:rPr>
        <w:t>关键要素包括但不限于：挂牌公司名称、证券代码、证券账户号、交易单元号、股份数量、公司公章等。</w:t>
      </w:r>
    </w:p>
    <w:p>
      <w:pPr>
        <w:pStyle w:val="9"/>
        <w:numPr>
          <w:ilvl w:val="0"/>
          <w:numId w:val="1"/>
        </w:numPr>
        <w:ind w:firstLineChars="0"/>
        <w:rPr>
          <w:rFonts w:ascii="Times New Roman" w:hAnsi="Times New Roman" w:eastAsia="仿宋"/>
        </w:rPr>
      </w:pPr>
      <w:r>
        <w:rPr>
          <w:rFonts w:ascii="Times New Roman" w:hAnsi="Times New Roman" w:eastAsia="仿宋"/>
        </w:rPr>
        <w:t>第</w:t>
      </w:r>
      <w:r>
        <w:rPr>
          <w:rFonts w:hint="eastAsia" w:ascii="Times New Roman" w:hAnsi="Times New Roman" w:eastAsia="仿宋"/>
        </w:rPr>
        <w:t>6</w:t>
      </w:r>
      <w:r>
        <w:rPr>
          <w:rFonts w:hint="eastAsia" w:ascii="Times New Roman" w:hAnsi="Times New Roman" w:eastAsia="仿宋"/>
          <w:lang w:val="en-US" w:eastAsia="zh-CN"/>
        </w:rPr>
        <w:t>5</w:t>
      </w:r>
      <w:r>
        <w:rPr>
          <w:rFonts w:ascii="Times New Roman" w:hAnsi="Times New Roman" w:eastAsia="仿宋"/>
        </w:rPr>
        <w:t>条只要未在规则要求的时限内提交业务申请材料，无论是否提交关于延期提交材料的说明，均记录负面行为。</w:t>
      </w:r>
    </w:p>
    <w:p>
      <w:pPr>
        <w:widowControl/>
        <w:numPr>
          <w:ilvl w:val="0"/>
          <w:numId w:val="1"/>
        </w:numPr>
        <w:rPr>
          <w:rFonts w:ascii="Times New Roman" w:hAnsi="Times New Roman" w:eastAsia="仿宋"/>
        </w:rPr>
      </w:pPr>
      <w:r>
        <w:rPr>
          <w:rFonts w:hint="eastAsia" w:ascii="Times New Roman" w:hAnsi="Times New Roman" w:eastAsia="仿宋"/>
        </w:rPr>
        <w:t>第71条主要指相关投资者连续三次出现同类交易违规行为被采取自律监管措施或纪律处分。</w:t>
      </w:r>
    </w:p>
    <w:p>
      <w:pPr>
        <w:widowControl/>
        <w:numPr>
          <w:ilvl w:val="0"/>
          <w:numId w:val="1"/>
        </w:numPr>
        <w:rPr>
          <w:rFonts w:ascii="Times New Roman" w:hAnsi="Times New Roman" w:eastAsia="仿宋"/>
        </w:rPr>
      </w:pPr>
      <w:r>
        <w:rPr>
          <w:rFonts w:hint="eastAsia" w:ascii="Times New Roman" w:hAnsi="Times New Roman" w:eastAsia="仿宋"/>
        </w:rPr>
        <w:t>第72条主要指未在规定期限内及时反馈相关资料，对被采取自律监管措施或纪律处分客户未落实相关措施。</w:t>
      </w:r>
    </w:p>
    <w:p>
      <w:pPr>
        <w:widowControl/>
        <w:rPr>
          <w:rFonts w:ascii="Times New Roman" w:hAnsi="Times New Roman" w:eastAsia="仿宋"/>
        </w:rPr>
      </w:pPr>
    </w:p>
    <w:p>
      <w:pPr>
        <w:widowControl/>
        <w:rPr>
          <w:rFonts w:ascii="Times New Roman" w:hAnsi="Times New Roman" w:eastAsia="仿宋"/>
        </w:rPr>
      </w:pPr>
    </w:p>
    <w:p>
      <w:pPr>
        <w:widowControl/>
        <w:rPr>
          <w:rFonts w:ascii="Times New Roman" w:hAnsi="Times New Roman" w:eastAsia="仿宋"/>
        </w:rPr>
      </w:pPr>
    </w:p>
    <w:p/>
    <w:p/>
    <w:sectPr>
      <w:footerReference r:id="rId3" w:type="default"/>
      <w:footerReference r:id="rId4" w:type="even"/>
      <w:pgSz w:w="11906" w:h="16838"/>
      <w:pgMar w:top="2098" w:right="1588"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大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9755594"/>
    </w:sdtPr>
    <w:sdtEndPr>
      <w:rPr>
        <w:rFonts w:asciiTheme="minorEastAsia" w:hAnsiTheme="minorEastAsia" w:eastAsiaTheme="minorEastAsia"/>
        <w:sz w:val="28"/>
        <w:szCs w:val="28"/>
      </w:rPr>
    </w:sdtEndPr>
    <w:sdtContent>
      <w:p>
        <w:pPr>
          <w:pStyle w:val="3"/>
          <w:jc w:val="right"/>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1 -</w:t>
        </w:r>
        <w:r>
          <w:rPr>
            <w:rFonts w:asciiTheme="minorEastAsia" w:hAnsiTheme="minorEastAsia" w:eastAsiaTheme="minorEastAsia"/>
            <w:sz w:val="28"/>
            <w:szCs w:val="28"/>
          </w:rPr>
          <w:fldChar w:fldCharType="end"/>
        </w:r>
      </w:p>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3249126"/>
    </w:sdtPr>
    <w:sdtEndPr>
      <w:rPr>
        <w:rFonts w:asciiTheme="minorEastAsia" w:hAnsiTheme="minorEastAsia" w:eastAsiaTheme="minorEastAsia"/>
        <w:sz w:val="28"/>
        <w:szCs w:val="28"/>
      </w:rPr>
    </w:sdtEndPr>
    <w:sdtContent>
      <w:p>
        <w:pPr>
          <w:pStyle w:val="3"/>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2 -</w:t>
        </w:r>
        <w:r>
          <w:rPr>
            <w:rFonts w:asciiTheme="minorEastAsia" w:hAnsiTheme="minorEastAsia" w:eastAsiaTheme="minorEastAsia"/>
            <w:sz w:val="28"/>
            <w:szCs w:val="28"/>
          </w:rP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7B252D"/>
    <w:multiLevelType w:val="multilevel"/>
    <w:tmpl w:val="517B252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evenAndOddHeaders w:val="true"/>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38B"/>
    <w:rsid w:val="000C0875"/>
    <w:rsid w:val="000C3473"/>
    <w:rsid w:val="002E4AC8"/>
    <w:rsid w:val="002F422A"/>
    <w:rsid w:val="004E3AE8"/>
    <w:rsid w:val="005802CE"/>
    <w:rsid w:val="005C0215"/>
    <w:rsid w:val="00783782"/>
    <w:rsid w:val="007E2101"/>
    <w:rsid w:val="008E5BF6"/>
    <w:rsid w:val="00A7538B"/>
    <w:rsid w:val="00B54B21"/>
    <w:rsid w:val="00C963F8"/>
    <w:rsid w:val="00D23110"/>
    <w:rsid w:val="00D245BB"/>
    <w:rsid w:val="00E252C0"/>
    <w:rsid w:val="00E54585"/>
    <w:rsid w:val="00EA403E"/>
    <w:rsid w:val="00F35D31"/>
    <w:rsid w:val="00FE647A"/>
    <w:rsid w:val="1BFBF8F9"/>
    <w:rsid w:val="1FF70716"/>
    <w:rsid w:val="3D2B992E"/>
    <w:rsid w:val="3EFE8C8D"/>
    <w:rsid w:val="3FFB667C"/>
    <w:rsid w:val="578ADB36"/>
    <w:rsid w:val="5BBF28AA"/>
    <w:rsid w:val="5FBDF268"/>
    <w:rsid w:val="66AFB260"/>
    <w:rsid w:val="78F745C0"/>
    <w:rsid w:val="7AF7B41F"/>
    <w:rsid w:val="7CBD2267"/>
    <w:rsid w:val="7F6EF5ED"/>
    <w:rsid w:val="7FFE9629"/>
    <w:rsid w:val="8AE78C9E"/>
    <w:rsid w:val="BDFD7493"/>
    <w:rsid w:val="BFF9199F"/>
    <w:rsid w:val="CFBEBB12"/>
    <w:rsid w:val="DEE973FC"/>
    <w:rsid w:val="E2FFFF27"/>
    <w:rsid w:val="E7DBFDD5"/>
    <w:rsid w:val="EDB9B61F"/>
    <w:rsid w:val="EFEF2B7F"/>
    <w:rsid w:val="F8BFE1F0"/>
    <w:rsid w:val="FBFF6BF3"/>
    <w:rsid w:val="FF37B01E"/>
    <w:rsid w:val="FF67028E"/>
    <w:rsid w:val="FFE2B915"/>
    <w:rsid w:val="FFFD1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styleId="9">
    <w:name w:val="List Paragraph"/>
    <w:basedOn w:val="1"/>
    <w:link w:val="10"/>
    <w:qFormat/>
    <w:uiPriority w:val="34"/>
    <w:pPr>
      <w:ind w:firstLine="420" w:firstLineChars="200"/>
    </w:pPr>
  </w:style>
  <w:style w:type="character" w:customStyle="1" w:styleId="10">
    <w:name w:val="列出段落 Char"/>
    <w:link w:val="9"/>
    <w:qFormat/>
    <w:uiPriority w:val="34"/>
    <w:rPr>
      <w:rFonts w:ascii="Calibri" w:hAnsi="Calibri" w:eastAsia="宋体"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3711</Words>
  <Characters>3923</Characters>
  <Lines>31</Lines>
  <Paragraphs>8</Paragraphs>
  <TotalTime>0</TotalTime>
  <ScaleCrop>false</ScaleCrop>
  <LinksUpToDate>false</LinksUpToDate>
  <CharactersWithSpaces>3925</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2023-01-01T01:09:00Z</dcterms:created>
  <dc:creator>bse</dc:creator>
  <cp:lastModifiedBy>shejx</cp:lastModifiedBy>
  <cp:lastPrinted>2022-11-30T00:46:00Z</cp:lastPrinted>
  <dcterms:modified xsi:type="dcterms:W3CDTF">2024-09-26T11:34:25Z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