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方正大标宋简体" w:eastAsia="方正大标宋简体"/>
          <w:sz w:val="44"/>
          <w:szCs w:val="44"/>
        </w:rPr>
      </w:pPr>
      <w:bookmarkStart w:id="0" w:name="_GoBack"/>
      <w:bookmarkEnd w:id="0"/>
    </w:p>
    <w:p>
      <w:pPr>
        <w:spacing w:line="0" w:lineRule="atLeast"/>
        <w:jc w:val="center"/>
        <w:outlineLvl w:val="0"/>
        <w:rPr>
          <w:rFonts w:ascii="方正大标宋简体" w:eastAsia="方正大标宋简体"/>
          <w:sz w:val="44"/>
          <w:szCs w:val="44"/>
        </w:rPr>
      </w:pPr>
      <w:r>
        <w:rPr>
          <w:rFonts w:hint="eastAsia" w:ascii="方正大标宋简体" w:eastAsia="方正大标宋简体"/>
          <w:sz w:val="44"/>
          <w:szCs w:val="44"/>
        </w:rPr>
        <w:t>北交所股票启用新证券代码号段</w:t>
      </w:r>
    </w:p>
    <w:p>
      <w:pPr>
        <w:spacing w:line="0" w:lineRule="atLeast"/>
        <w:jc w:val="center"/>
        <w:outlineLvl w:val="0"/>
        <w:rPr>
          <w:rFonts w:ascii="方正大标宋简体" w:eastAsia="方正大标宋简体"/>
          <w:sz w:val="44"/>
          <w:szCs w:val="44"/>
        </w:rPr>
      </w:pPr>
      <w:r>
        <w:rPr>
          <w:rFonts w:hint="eastAsia" w:ascii="方正大标宋简体" w:eastAsia="方正大标宋简体"/>
          <w:sz w:val="44"/>
          <w:szCs w:val="44"/>
        </w:rPr>
        <w:t>通关测试反馈报告</w:t>
      </w:r>
    </w:p>
    <w:p>
      <w:pPr>
        <w:spacing w:line="0" w:lineRule="atLeast"/>
        <w:jc w:val="left"/>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296" w:type="dxa"/>
          </w:tcPr>
          <w:p>
            <w:pPr>
              <w:pStyle w:val="9"/>
              <w:spacing w:before="60" w:after="60" w:line="0" w:lineRule="atLeast"/>
              <w:ind w:firstLine="0" w:firstLineChars="0"/>
              <w:jc w:val="left"/>
              <w:rPr>
                <w:rFonts w:ascii="黑体" w:hAnsi="黑体" w:eastAsia="黑体" w:cs="Arial"/>
                <w:sz w:val="28"/>
                <w:szCs w:val="28"/>
              </w:rPr>
            </w:pPr>
            <w:r>
              <w:rPr>
                <w:rFonts w:hint="eastAsia" w:ascii="黑体" w:hAnsi="黑体" w:eastAsia="黑体" w:cs="Arial"/>
                <w:sz w:val="28"/>
                <w:szCs w:val="28"/>
              </w:rPr>
              <w:t>一、</w:t>
            </w:r>
            <w:r>
              <w:rPr>
                <w:rFonts w:ascii="黑体" w:hAnsi="黑体" w:eastAsia="黑体" w:cs="Arial"/>
                <w:sz w:val="28"/>
                <w:szCs w:val="28"/>
              </w:rPr>
              <w:t>参测机构名称：</w:t>
            </w:r>
          </w:p>
          <w:p>
            <w:pPr>
              <w:spacing w:line="0" w:lineRule="atLeas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296" w:type="dxa"/>
          </w:tcPr>
          <w:p>
            <w:pPr>
              <w:pStyle w:val="9"/>
              <w:spacing w:before="60" w:after="60" w:line="0" w:lineRule="atLeast"/>
              <w:ind w:firstLine="0" w:firstLineChars="0"/>
              <w:jc w:val="left"/>
              <w:rPr>
                <w:rFonts w:ascii="黑体" w:hAnsi="黑体" w:eastAsia="黑体" w:cs="Arial"/>
                <w:sz w:val="28"/>
                <w:szCs w:val="28"/>
              </w:rPr>
            </w:pPr>
            <w:r>
              <w:rPr>
                <w:rFonts w:hint="eastAsia" w:ascii="黑体" w:hAnsi="黑体" w:eastAsia="黑体" w:cs="Arial"/>
                <w:sz w:val="28"/>
                <w:szCs w:val="28"/>
              </w:rPr>
              <w:t>二、</w:t>
            </w:r>
            <w:r>
              <w:rPr>
                <w:rFonts w:ascii="黑体" w:hAnsi="黑体" w:eastAsia="黑体" w:cs="Arial"/>
                <w:sz w:val="28"/>
                <w:szCs w:val="28"/>
              </w:rPr>
              <w:t>测试时间</w:t>
            </w:r>
          </w:p>
          <w:p>
            <w:pPr>
              <w:spacing w:line="0" w:lineRule="atLeast"/>
              <w:ind w:firstLine="560" w:firstLineChars="20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2024年4月20日</w:t>
            </w:r>
          </w:p>
          <w:p>
            <w:pPr>
              <w:spacing w:line="0" w:lineRule="atLeast"/>
              <w:ind w:firstLine="560" w:firstLineChars="200"/>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before="60" w:after="60" w:line="0" w:lineRule="atLeast"/>
              <w:rPr>
                <w:rFonts w:ascii="Times New Roman" w:hAnsi="Times New Roman" w:eastAsia="黑体" w:cs="Times New Roman"/>
                <w:sz w:val="28"/>
                <w:szCs w:val="28"/>
              </w:rPr>
            </w:pPr>
            <w:r>
              <w:rPr>
                <w:rFonts w:hint="eastAsia" w:ascii="Times New Roman" w:hAnsi="Times New Roman" w:eastAsia="黑体" w:cs="Times New Roman"/>
                <w:sz w:val="28"/>
                <w:szCs w:val="28"/>
              </w:rPr>
              <w:t>三</w:t>
            </w:r>
            <w:r>
              <w:rPr>
                <w:rFonts w:ascii="Times New Roman" w:hAnsi="Times New Roman" w:eastAsia="黑体" w:cs="Times New Roman"/>
                <w:sz w:val="28"/>
                <w:szCs w:val="28"/>
              </w:rPr>
              <w:t>、测试情况</w:t>
            </w:r>
          </w:p>
          <w:p>
            <w:pPr>
              <w:spacing w:before="60" w:after="60" w:line="0" w:lineRule="atLeast"/>
              <w:rPr>
                <w:rFonts w:ascii="Times New Roman" w:hAnsi="Times New Roman" w:eastAsia="仿宋" w:cs="Times New Roman"/>
                <w:sz w:val="28"/>
                <w:szCs w:val="28"/>
              </w:rPr>
            </w:pPr>
            <w:r>
              <w:rPr>
                <w:rFonts w:ascii="Times New Roman" w:hAnsi="Times New Roman" w:eastAsia="仿宋" w:cs="Times New Roman"/>
                <w:sz w:val="28"/>
                <w:szCs w:val="28"/>
              </w:rPr>
              <w:t>1.</w:t>
            </w:r>
            <w:r>
              <w:rPr>
                <w:rFonts w:hint="eastAsia" w:ascii="Times New Roman" w:hAnsi="Times New Roman" w:eastAsia="仿宋" w:cs="Times New Roman"/>
                <w:sz w:val="28"/>
                <w:szCs w:val="28"/>
              </w:rPr>
              <w:t>能正常进行市价、限价、申购、询价、大宗交易等各类申报。</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□通过       □未通过     □未测      </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2.申报过程中能够正确的进行资金冻结处理。</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□通过       □未通过     □未测      </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3.能够正常接收并揭示北交所各类行情信息，新代码和原新三板代码不做关联</w:t>
            </w:r>
            <w:r>
              <w:rPr>
                <w:rFonts w:ascii="Times New Roman" w:hAnsi="Times New Roman" w:eastAsia="仿宋" w:cs="Times New Roman"/>
                <w:sz w:val="28"/>
                <w:szCs w:val="28"/>
              </w:rPr>
              <w:t>。</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□通过       □未通过     □未测      </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4.能够正确接收、处理北交所下发的适当性、分层信息等各类文件。</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sym w:font="Wingdings 2" w:char="00A3"/>
            </w:r>
            <w:r>
              <w:rPr>
                <w:rFonts w:hint="eastAsia" w:ascii="Times New Roman" w:hAnsi="Times New Roman" w:eastAsia="仿宋" w:cs="Times New Roman"/>
                <w:sz w:val="28"/>
                <w:szCs w:val="28"/>
              </w:rPr>
              <w:t xml:space="preserve">通过       </w:t>
            </w:r>
            <w:r>
              <w:rPr>
                <w:rFonts w:hint="eastAsia" w:ascii="Times New Roman" w:hAnsi="Times New Roman" w:eastAsia="仿宋" w:cs="Times New Roman"/>
                <w:sz w:val="28"/>
                <w:szCs w:val="28"/>
              </w:rPr>
              <w:sym w:font="Wingdings 2" w:char="00A3"/>
            </w:r>
            <w:r>
              <w:rPr>
                <w:rFonts w:hint="eastAsia" w:ascii="Times New Roman" w:hAnsi="Times New Roman" w:eastAsia="仿宋" w:cs="Times New Roman"/>
                <w:sz w:val="28"/>
                <w:szCs w:val="28"/>
              </w:rPr>
              <w:t xml:space="preserve">未通过     □未测      </w:t>
            </w:r>
          </w:p>
          <w:p>
            <w:pPr>
              <w:numPr>
                <w:ilvl w:val="0"/>
                <w:numId w:val="1"/>
              </w:num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能够正常完成北交所股票的清算交收。</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sym w:font="Wingdings 2" w:char="00A3"/>
            </w:r>
            <w:r>
              <w:rPr>
                <w:rFonts w:hint="eastAsia" w:ascii="Times New Roman" w:hAnsi="Times New Roman" w:eastAsia="仿宋" w:cs="Times New Roman"/>
                <w:sz w:val="28"/>
                <w:szCs w:val="28"/>
              </w:rPr>
              <w:t xml:space="preserve">通过       </w:t>
            </w:r>
            <w:r>
              <w:rPr>
                <w:rFonts w:hint="eastAsia" w:ascii="Times New Roman" w:hAnsi="Times New Roman" w:eastAsia="仿宋" w:cs="Times New Roman"/>
                <w:sz w:val="28"/>
                <w:szCs w:val="28"/>
              </w:rPr>
              <w:sym w:font="Wingdings 2" w:char="00A3"/>
            </w:r>
            <w:r>
              <w:rPr>
                <w:rFonts w:hint="eastAsia" w:ascii="Times New Roman" w:hAnsi="Times New Roman" w:eastAsia="仿宋" w:cs="Times New Roman"/>
                <w:sz w:val="28"/>
                <w:szCs w:val="28"/>
              </w:rPr>
              <w:t xml:space="preserve">未通过     □未测      </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6.融资融券相关业务未见异常。</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□通过       □未通过     □未测       □不涉及</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7</w:t>
            </w:r>
            <w:r>
              <w:rPr>
                <w:rFonts w:ascii="Times New Roman" w:hAnsi="Times New Roman" w:eastAsia="仿宋" w:cs="Times New Roman"/>
                <w:sz w:val="28"/>
                <w:szCs w:val="28"/>
              </w:rPr>
              <w:t>.</w:t>
            </w:r>
            <w:r>
              <w:rPr>
                <w:rFonts w:hint="eastAsia" w:ascii="Times New Roman" w:hAnsi="Times New Roman" w:eastAsia="仿宋" w:cs="Times New Roman"/>
                <w:sz w:val="28"/>
                <w:szCs w:val="28"/>
              </w:rPr>
              <w:t>北交所做市商做市系统未见异常，可正常履行做市义务。</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□通过       □未通过     □未测       □不涉及</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8</w:t>
            </w:r>
            <w:r>
              <w:rPr>
                <w:rFonts w:ascii="Times New Roman" w:hAnsi="Times New Roman" w:eastAsia="仿宋" w:cs="Times New Roman"/>
                <w:sz w:val="28"/>
                <w:szCs w:val="28"/>
                <w:lang w:val="en"/>
              </w:rPr>
              <w:t>.</w:t>
            </w:r>
            <w:r>
              <w:rPr>
                <w:rFonts w:hint="eastAsia" w:ascii="Times New Roman" w:hAnsi="Times New Roman" w:eastAsia="仿宋" w:cs="Times New Roman"/>
                <w:sz w:val="28"/>
                <w:szCs w:val="28"/>
              </w:rPr>
              <w:t>技术系统（含周边系统）现有各项业务运行正常。</w:t>
            </w:r>
          </w:p>
          <w:p>
            <w:pPr>
              <w:spacing w:before="60" w:after="60" w:line="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□通过       □未通过     □未测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before="60" w:after="60" w:line="0" w:lineRule="atLeast"/>
              <w:rPr>
                <w:rFonts w:ascii="Times New Roman" w:hAnsi="Times New Roman" w:eastAsia="黑体" w:cs="Times New Roman"/>
                <w:sz w:val="28"/>
                <w:szCs w:val="28"/>
              </w:rPr>
            </w:pPr>
            <w:r>
              <w:rPr>
                <w:rFonts w:ascii="Times New Roman" w:hAnsi="Times New Roman" w:eastAsia="黑体" w:cs="Times New Roman"/>
                <w:sz w:val="28"/>
                <w:szCs w:val="28"/>
              </w:rPr>
              <w:t>三、测试结论</w:t>
            </w:r>
          </w:p>
          <w:p>
            <w:pPr>
              <w:spacing w:before="60" w:after="60" w:line="0" w:lineRule="atLeast"/>
              <w:rPr>
                <w:rFonts w:ascii="Times New Roman" w:hAnsi="Times New Roman" w:eastAsia="仿宋" w:cs="Times New Roman"/>
                <w:sz w:val="28"/>
                <w:szCs w:val="28"/>
              </w:rPr>
            </w:pPr>
            <w:r>
              <w:rPr>
                <w:rFonts w:ascii="Times New Roman" w:hAnsi="Times New Roman" w:eastAsia="仿宋" w:cs="Times New Roman"/>
                <w:sz w:val="28"/>
                <w:szCs w:val="28"/>
              </w:rPr>
              <w:t>能够正确完成所有业务测试场景，达到上线要求。</w:t>
            </w:r>
          </w:p>
          <w:p>
            <w:pPr>
              <w:spacing w:before="60" w:after="60" w:line="0" w:lineRule="atLeas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□完全通过   □部分通过   □未通过</w:t>
            </w:r>
          </w:p>
          <w:p>
            <w:pPr>
              <w:spacing w:before="60" w:after="60" w:line="0" w:lineRule="atLeast"/>
              <w:rPr>
                <w:rFonts w:ascii="Times New Roman" w:hAnsi="Times New Roman" w:eastAsia="仿宋" w:cs="Times New Roman"/>
                <w:sz w:val="28"/>
                <w:szCs w:val="28"/>
              </w:rPr>
            </w:pPr>
            <w:r>
              <w:rPr>
                <w:rFonts w:ascii="Times New Roman" w:hAnsi="Times New Roman" w:eastAsia="仿宋" w:cs="Times New Roman"/>
                <w:sz w:val="28"/>
                <w:szCs w:val="28"/>
              </w:rPr>
              <w:t>（</w:t>
            </w:r>
            <w:r>
              <w:rPr>
                <w:rFonts w:hint="eastAsia" w:ascii="Times New Roman" w:hAnsi="Times New Roman" w:eastAsia="仿宋" w:cs="Times New Roman"/>
                <w:sz w:val="28"/>
                <w:szCs w:val="28"/>
              </w:rPr>
              <w:t>注：</w:t>
            </w:r>
            <w:r>
              <w:rPr>
                <w:rFonts w:ascii="Times New Roman" w:hAnsi="Times New Roman" w:eastAsia="仿宋" w:cs="Times New Roman"/>
                <w:sz w:val="28"/>
                <w:szCs w:val="28"/>
              </w:rPr>
              <w:t>如果选择</w:t>
            </w:r>
            <w:r>
              <w:rPr>
                <w:rFonts w:ascii="仿宋" w:hAnsi="仿宋" w:eastAsia="仿宋" w:cs="Times New Roman"/>
                <w:sz w:val="28"/>
                <w:szCs w:val="28"/>
              </w:rPr>
              <w:t>“部分通过”或“未通过”</w:t>
            </w:r>
            <w:r>
              <w:rPr>
                <w:rFonts w:ascii="Times New Roman" w:hAnsi="Times New Roman" w:eastAsia="仿宋" w:cs="Times New Roman"/>
                <w:sz w:val="28"/>
                <w:szCs w:val="28"/>
              </w:rPr>
              <w:t>，请在问题记录中写明详细情况、原因</w:t>
            </w:r>
            <w:r>
              <w:rPr>
                <w:rFonts w:hint="eastAsia" w:ascii="Times New Roman" w:hAnsi="Times New Roman" w:eastAsia="仿宋" w:cs="Times New Roman"/>
                <w:sz w:val="28"/>
                <w:szCs w:val="28"/>
              </w:rPr>
              <w:t>。尚未完成技术改造的，请填写</w:t>
            </w:r>
            <w:r>
              <w:rPr>
                <w:rFonts w:ascii="Times New Roman" w:hAnsi="Times New Roman" w:eastAsia="仿宋" w:cs="Times New Roman"/>
                <w:sz w:val="28"/>
                <w:szCs w:val="28"/>
              </w:rPr>
              <w:t>预期改造完成时间。）</w:t>
            </w:r>
          </w:p>
          <w:p>
            <w:pPr>
              <w:spacing w:before="60" w:after="60" w:line="0" w:lineRule="atLeast"/>
              <w:jc w:val="left"/>
              <w:rPr>
                <w:rFonts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before="60" w:after="60" w:line="0" w:lineRule="atLeast"/>
              <w:jc w:val="left"/>
              <w:rPr>
                <w:rFonts w:ascii="黑体" w:hAnsi="黑体" w:eastAsia="黑体" w:cs="Arial"/>
                <w:sz w:val="28"/>
                <w:szCs w:val="28"/>
              </w:rPr>
            </w:pPr>
            <w:r>
              <w:rPr>
                <w:rFonts w:ascii="黑体" w:hAnsi="黑体" w:eastAsia="黑体" w:cs="Arial"/>
                <w:sz w:val="28"/>
                <w:szCs w:val="28"/>
              </w:rPr>
              <w:t>四</w:t>
            </w:r>
            <w:r>
              <w:rPr>
                <w:rFonts w:hint="eastAsia" w:ascii="黑体" w:hAnsi="黑体" w:eastAsia="黑体" w:cs="Arial"/>
                <w:sz w:val="28"/>
                <w:szCs w:val="28"/>
              </w:rPr>
              <w:t>、</w:t>
            </w:r>
            <w:r>
              <w:rPr>
                <w:rFonts w:ascii="黑体" w:hAnsi="黑体" w:eastAsia="黑体" w:cs="Arial"/>
                <w:sz w:val="28"/>
                <w:szCs w:val="28"/>
              </w:rPr>
              <w:t>问题记录</w:t>
            </w:r>
          </w:p>
          <w:p>
            <w:pPr>
              <w:spacing w:before="60" w:after="60" w:line="0" w:lineRule="atLeast"/>
              <w:jc w:val="left"/>
              <w:rPr>
                <w:rFonts w:ascii="仿宋" w:hAnsi="仿宋" w:eastAsia="仿宋" w:cs="Arial"/>
                <w:sz w:val="28"/>
                <w:szCs w:val="28"/>
              </w:rPr>
            </w:pPr>
          </w:p>
          <w:p>
            <w:pPr>
              <w:spacing w:before="60" w:after="60" w:line="0" w:lineRule="atLeast"/>
              <w:jc w:val="left"/>
              <w:rPr>
                <w:rFonts w:ascii="仿宋" w:hAnsi="仿宋" w:eastAsia="仿宋" w:cs="Arial"/>
                <w:sz w:val="28"/>
                <w:szCs w:val="28"/>
              </w:rPr>
            </w:pPr>
          </w:p>
          <w:p>
            <w:pPr>
              <w:spacing w:before="60" w:after="60" w:line="0" w:lineRule="atLeast"/>
              <w:jc w:val="left"/>
              <w:rPr>
                <w:rFonts w:ascii="仿宋" w:hAnsi="仿宋" w:eastAsia="仿宋" w:cs="Arial"/>
                <w:sz w:val="28"/>
                <w:szCs w:val="28"/>
              </w:rPr>
            </w:pPr>
          </w:p>
          <w:p>
            <w:pPr>
              <w:spacing w:before="60" w:after="60" w:line="0" w:lineRule="atLeast"/>
              <w:jc w:val="left"/>
              <w:rPr>
                <w:rFonts w:ascii="仿宋" w:hAnsi="仿宋" w:eastAsia="仿宋" w:cs="Arial"/>
                <w:sz w:val="28"/>
                <w:szCs w:val="28"/>
              </w:rPr>
            </w:pPr>
          </w:p>
          <w:p>
            <w:pPr>
              <w:spacing w:before="60" w:after="60" w:line="0" w:lineRule="atLeast"/>
              <w:jc w:val="left"/>
              <w:rPr>
                <w:rFonts w:ascii="仿宋" w:hAnsi="仿宋" w:eastAsia="仿宋" w:cs="Arial"/>
                <w:sz w:val="28"/>
                <w:szCs w:val="28"/>
              </w:rPr>
            </w:pPr>
          </w:p>
          <w:p>
            <w:pPr>
              <w:spacing w:before="60" w:after="60" w:line="0" w:lineRule="atLeast"/>
              <w:jc w:val="left"/>
              <w:rPr>
                <w:rFonts w:ascii="仿宋" w:hAnsi="仿宋" w:eastAsia="仿宋"/>
                <w:sz w:val="28"/>
                <w:szCs w:val="28"/>
              </w:rPr>
            </w:pPr>
            <w:r>
              <w:rPr>
                <w:rFonts w:ascii="仿宋" w:hAnsi="仿宋" w:eastAsia="仿宋" w:cs="Arial"/>
                <w:sz w:val="28"/>
                <w:szCs w:val="28"/>
              </w:rPr>
              <w:t>注：测试中发现的问题，请在本栏描述。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296" w:type="dxa"/>
          </w:tcPr>
          <w:p>
            <w:pPr>
              <w:spacing w:before="60" w:after="60" w:line="0" w:lineRule="atLeast"/>
              <w:jc w:val="left"/>
              <w:rPr>
                <w:rFonts w:ascii="仿宋" w:hAnsi="仿宋" w:eastAsia="仿宋" w:cs="Arial"/>
                <w:sz w:val="28"/>
                <w:szCs w:val="28"/>
              </w:rPr>
            </w:pPr>
            <w:r>
              <w:rPr>
                <w:rFonts w:ascii="黑体" w:hAnsi="黑体" w:eastAsia="黑体" w:cs="Arial"/>
                <w:sz w:val="28"/>
                <w:szCs w:val="28"/>
              </w:rPr>
              <w:t>测试负责人：</w:t>
            </w:r>
          </w:p>
          <w:p>
            <w:pPr>
              <w:spacing w:before="60" w:after="60" w:line="0" w:lineRule="atLeast"/>
              <w:jc w:val="left"/>
              <w:rPr>
                <w:rFonts w:ascii="黑体" w:hAnsi="黑体" w:eastAsia="黑体" w:cs="Arial"/>
                <w:sz w:val="28"/>
                <w:szCs w:val="28"/>
              </w:rPr>
            </w:pPr>
            <w:r>
              <w:rPr>
                <w:rFonts w:ascii="仿宋" w:hAnsi="仿宋" w:eastAsia="仿宋"/>
                <w:sz w:val="28"/>
                <w:szCs w:val="28"/>
              </w:rPr>
              <w:br w:type="textWrapping"/>
            </w:r>
            <w:r>
              <w:rPr>
                <w:rFonts w:ascii="黑体" w:hAnsi="黑体" w:eastAsia="黑体" w:cs="Arial"/>
                <w:sz w:val="28"/>
                <w:szCs w:val="28"/>
              </w:rPr>
              <w:t>联系电话（固话和手机）：</w:t>
            </w:r>
          </w:p>
          <w:p>
            <w:pPr>
              <w:spacing w:before="60" w:after="60" w:line="0" w:lineRule="atLeast"/>
              <w:jc w:val="left"/>
              <w:rPr>
                <w:rFonts w:ascii="黑体" w:hAnsi="黑体" w:eastAsia="黑体" w:cs="Arial"/>
                <w:sz w:val="28"/>
                <w:szCs w:val="28"/>
              </w:rPr>
            </w:pPr>
          </w:p>
          <w:p>
            <w:pPr>
              <w:spacing w:before="60" w:after="60" w:line="0" w:lineRule="atLeast"/>
              <w:jc w:val="left"/>
              <w:rPr>
                <w:rFonts w:ascii="黑体" w:hAnsi="黑体" w:eastAsia="黑体" w:cs="Arial"/>
                <w:sz w:val="28"/>
                <w:szCs w:val="28"/>
              </w:rPr>
            </w:pPr>
          </w:p>
        </w:tc>
      </w:tr>
    </w:tbl>
    <w:p>
      <w:pPr>
        <w:spacing w:line="0" w:lineRule="atLeast"/>
      </w:pPr>
    </w:p>
    <w:p>
      <w:pPr>
        <w:spacing w:line="0" w:lineRule="atLeast"/>
      </w:pPr>
    </w:p>
    <w:p>
      <w:pPr>
        <w:spacing w:line="0" w:lineRule="atLeast"/>
        <w:rPr>
          <w:rFonts w:ascii="Times New Roman" w:hAnsi="Times New Roman" w:eastAsia="楷体" w:cs="Times New Roman"/>
          <w:sz w:val="24"/>
          <w:szCs w:val="28"/>
        </w:rPr>
      </w:pPr>
      <w:r>
        <w:br w:type="textWrapping"/>
      </w:r>
      <w:r>
        <w:rPr>
          <w:rFonts w:ascii="Times New Roman" w:hAnsi="Times New Roman" w:eastAsia="楷体" w:cs="Times New Roman"/>
          <w:sz w:val="24"/>
          <w:szCs w:val="28"/>
        </w:rPr>
        <w:t>注：</w:t>
      </w:r>
      <w:r>
        <w:rPr>
          <w:rFonts w:hint="eastAsia" w:ascii="Times New Roman" w:hAnsi="Times New Roman" w:eastAsia="楷体" w:cs="Times New Roman"/>
          <w:sz w:val="24"/>
          <w:szCs w:val="28"/>
        </w:rPr>
        <w:t>测试结束后，各证券公司收集各自技术系统的测试情况，并于2024年4月20日20:30之前通过BPM提交测试报告（无需盖章）。参测基金公司和信息商应按上述时间要求通过电子邮件提交测试报告（无需盖章），邮件主题和附件名称均为：机构名称+北交所股票启用新证券代码号段通关测试报告，收件邮箱为：techservice@neeq.com.cn。</w:t>
      </w:r>
    </w:p>
    <w:sectPr>
      <w:headerReference r:id="rId3" w:type="default"/>
      <w:footerReference r:id="rId4" w:type="default"/>
      <w:footerReference r:id="rId5" w:type="even"/>
      <w:pgSz w:w="11906" w:h="16838"/>
      <w:pgMar w:top="2098" w:right="1588"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panose1 w:val="02010601030101010101"/>
    <w:charset w:val="86"/>
    <w:family w:val="auto"/>
    <w:pitch w:val="default"/>
    <w:sig w:usb0="00000001" w:usb1="080E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1691242"/>
    </w:sdtPr>
    <w:sdtEndPr>
      <w:rPr>
        <w:rFonts w:asciiTheme="minorEastAsia" w:hAnsiTheme="minorEastAsia"/>
        <w:sz w:val="28"/>
        <w:szCs w:val="28"/>
      </w:rPr>
    </w:sdtEndPr>
    <w:sdtContent>
      <w:p>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791657584"/>
    </w:sdtPr>
    <w:sdtEndPr>
      <w:rPr>
        <w:rFonts w:asciiTheme="minorEastAsia" w:hAnsiTheme="minorEastAsia"/>
        <w:sz w:val="28"/>
        <w:szCs w:val="28"/>
      </w:rPr>
    </w:sdtEndPr>
    <w:sdtContent>
      <w:p>
        <w:pPr>
          <w:pStyle w:val="4"/>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E64EA7"/>
    <w:multiLevelType w:val="singleLevel"/>
    <w:tmpl w:val="FBE64EA7"/>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AA8"/>
    <w:rsid w:val="00030C62"/>
    <w:rsid w:val="00051C20"/>
    <w:rsid w:val="000F10B6"/>
    <w:rsid w:val="00130595"/>
    <w:rsid w:val="00255DDF"/>
    <w:rsid w:val="00322042"/>
    <w:rsid w:val="00390BD4"/>
    <w:rsid w:val="003A719A"/>
    <w:rsid w:val="003B4AA8"/>
    <w:rsid w:val="003E7A93"/>
    <w:rsid w:val="0044180E"/>
    <w:rsid w:val="004C25E3"/>
    <w:rsid w:val="005258A4"/>
    <w:rsid w:val="005C77B3"/>
    <w:rsid w:val="0066266D"/>
    <w:rsid w:val="00681E6B"/>
    <w:rsid w:val="00684D5F"/>
    <w:rsid w:val="006A636C"/>
    <w:rsid w:val="006C1E89"/>
    <w:rsid w:val="006C35DF"/>
    <w:rsid w:val="006F059A"/>
    <w:rsid w:val="007B5554"/>
    <w:rsid w:val="00822087"/>
    <w:rsid w:val="00874C51"/>
    <w:rsid w:val="008A6B97"/>
    <w:rsid w:val="009879A7"/>
    <w:rsid w:val="009879C6"/>
    <w:rsid w:val="00A55770"/>
    <w:rsid w:val="00AC6261"/>
    <w:rsid w:val="00AC69F1"/>
    <w:rsid w:val="00AD31F1"/>
    <w:rsid w:val="00B33350"/>
    <w:rsid w:val="00B75920"/>
    <w:rsid w:val="00C56CE1"/>
    <w:rsid w:val="00C933F1"/>
    <w:rsid w:val="00C94C3D"/>
    <w:rsid w:val="00CA37AF"/>
    <w:rsid w:val="00CB171B"/>
    <w:rsid w:val="00CC337F"/>
    <w:rsid w:val="00D10848"/>
    <w:rsid w:val="00D15D74"/>
    <w:rsid w:val="00D434A8"/>
    <w:rsid w:val="00D94A4E"/>
    <w:rsid w:val="00E35C9E"/>
    <w:rsid w:val="00E95E00"/>
    <w:rsid w:val="00F20D72"/>
    <w:rsid w:val="00F44274"/>
    <w:rsid w:val="00FA39EC"/>
    <w:rsid w:val="03D9ACEF"/>
    <w:rsid w:val="0A772342"/>
    <w:rsid w:val="0BED7686"/>
    <w:rsid w:val="15796B0D"/>
    <w:rsid w:val="15CEFEA2"/>
    <w:rsid w:val="15DE73F5"/>
    <w:rsid w:val="17FF0A54"/>
    <w:rsid w:val="1BFCE234"/>
    <w:rsid w:val="36FB5734"/>
    <w:rsid w:val="3799C458"/>
    <w:rsid w:val="3ABF3CAC"/>
    <w:rsid w:val="3BB29D43"/>
    <w:rsid w:val="3BBDC055"/>
    <w:rsid w:val="3BFF6F1D"/>
    <w:rsid w:val="3DEE0838"/>
    <w:rsid w:val="3E969E0E"/>
    <w:rsid w:val="3EB377F2"/>
    <w:rsid w:val="3EBFCBF2"/>
    <w:rsid w:val="3EFF8A4B"/>
    <w:rsid w:val="3F7AE1CA"/>
    <w:rsid w:val="3F7F0C67"/>
    <w:rsid w:val="3FDF8113"/>
    <w:rsid w:val="47FB12F6"/>
    <w:rsid w:val="4EDFCC35"/>
    <w:rsid w:val="4F5FD904"/>
    <w:rsid w:val="4FDF5ABD"/>
    <w:rsid w:val="4FFE035D"/>
    <w:rsid w:val="55FFF753"/>
    <w:rsid w:val="5757D02A"/>
    <w:rsid w:val="58D76499"/>
    <w:rsid w:val="5AF6E261"/>
    <w:rsid w:val="5DBF74CE"/>
    <w:rsid w:val="5EED6B51"/>
    <w:rsid w:val="5F7B0672"/>
    <w:rsid w:val="5F9E2A7E"/>
    <w:rsid w:val="5FFD4F20"/>
    <w:rsid w:val="5FFDE180"/>
    <w:rsid w:val="637FF77A"/>
    <w:rsid w:val="6BFF38C5"/>
    <w:rsid w:val="6E79CB86"/>
    <w:rsid w:val="6EBE9E74"/>
    <w:rsid w:val="6FBD66D6"/>
    <w:rsid w:val="6FF7E4D9"/>
    <w:rsid w:val="71F7EEC8"/>
    <w:rsid w:val="735B3963"/>
    <w:rsid w:val="75FCE1AC"/>
    <w:rsid w:val="760F0B06"/>
    <w:rsid w:val="76EEC450"/>
    <w:rsid w:val="76FD742A"/>
    <w:rsid w:val="76FFA220"/>
    <w:rsid w:val="777FD2E6"/>
    <w:rsid w:val="78F6AFEC"/>
    <w:rsid w:val="7953A586"/>
    <w:rsid w:val="797F0C6E"/>
    <w:rsid w:val="79FD22D7"/>
    <w:rsid w:val="79FD7544"/>
    <w:rsid w:val="79FDD7C8"/>
    <w:rsid w:val="7ABF9DBB"/>
    <w:rsid w:val="7AF6780B"/>
    <w:rsid w:val="7AF77DEC"/>
    <w:rsid w:val="7BBBE419"/>
    <w:rsid w:val="7BD98582"/>
    <w:rsid w:val="7BFCC625"/>
    <w:rsid w:val="7C7D7FA8"/>
    <w:rsid w:val="7CB6FC75"/>
    <w:rsid w:val="7D72A174"/>
    <w:rsid w:val="7D7F7417"/>
    <w:rsid w:val="7DDD760B"/>
    <w:rsid w:val="7DFF9F52"/>
    <w:rsid w:val="7E8D9F15"/>
    <w:rsid w:val="7ED79364"/>
    <w:rsid w:val="7EDE70AD"/>
    <w:rsid w:val="7EF29645"/>
    <w:rsid w:val="7EF4C752"/>
    <w:rsid w:val="7F2FBDAF"/>
    <w:rsid w:val="7F6F463C"/>
    <w:rsid w:val="7FAF9AD7"/>
    <w:rsid w:val="7FBBE7EA"/>
    <w:rsid w:val="7FBE3A51"/>
    <w:rsid w:val="7FC62354"/>
    <w:rsid w:val="7FD073FA"/>
    <w:rsid w:val="7FD7EA07"/>
    <w:rsid w:val="7FF50DB3"/>
    <w:rsid w:val="7FFA2750"/>
    <w:rsid w:val="7FFF0DEC"/>
    <w:rsid w:val="7FFFD664"/>
    <w:rsid w:val="89970294"/>
    <w:rsid w:val="97D56C17"/>
    <w:rsid w:val="9FCDF9A5"/>
    <w:rsid w:val="A6EFC633"/>
    <w:rsid w:val="A7DD3774"/>
    <w:rsid w:val="AEAF0AAA"/>
    <w:rsid w:val="AF7F8C87"/>
    <w:rsid w:val="AFDE12FA"/>
    <w:rsid w:val="B674C3DB"/>
    <w:rsid w:val="B7F32B0E"/>
    <w:rsid w:val="B9705539"/>
    <w:rsid w:val="BE7B697E"/>
    <w:rsid w:val="BEFF342F"/>
    <w:rsid w:val="BFF1E876"/>
    <w:rsid w:val="BFFF285B"/>
    <w:rsid w:val="C6B7EA13"/>
    <w:rsid w:val="C7DF9328"/>
    <w:rsid w:val="C974431C"/>
    <w:rsid w:val="CDE9CF95"/>
    <w:rsid w:val="CEB74314"/>
    <w:rsid w:val="D1D70023"/>
    <w:rsid w:val="DB5CECD3"/>
    <w:rsid w:val="DD3FC460"/>
    <w:rsid w:val="DD6B9DE1"/>
    <w:rsid w:val="DDEF2A55"/>
    <w:rsid w:val="DEFE5AB4"/>
    <w:rsid w:val="DF73F790"/>
    <w:rsid w:val="DFBF1E65"/>
    <w:rsid w:val="DFDB83AF"/>
    <w:rsid w:val="DFFC362E"/>
    <w:rsid w:val="E7CB0401"/>
    <w:rsid w:val="E9671C18"/>
    <w:rsid w:val="EBEF2783"/>
    <w:rsid w:val="ECF73FF2"/>
    <w:rsid w:val="EED38A74"/>
    <w:rsid w:val="EEFCE7FC"/>
    <w:rsid w:val="EFDB027A"/>
    <w:rsid w:val="EFEEDEA2"/>
    <w:rsid w:val="EFFF3FD4"/>
    <w:rsid w:val="EFFFA177"/>
    <w:rsid w:val="F3C67305"/>
    <w:rsid w:val="F4EEEC03"/>
    <w:rsid w:val="F75C22CE"/>
    <w:rsid w:val="F7AF9381"/>
    <w:rsid w:val="F7DD92E8"/>
    <w:rsid w:val="F7ED2D55"/>
    <w:rsid w:val="F7FE63C4"/>
    <w:rsid w:val="F96F22D0"/>
    <w:rsid w:val="F9EDE235"/>
    <w:rsid w:val="FAF98191"/>
    <w:rsid w:val="FB0F7AAE"/>
    <w:rsid w:val="FBBF32FA"/>
    <w:rsid w:val="FBFDCC5D"/>
    <w:rsid w:val="FBFF3E58"/>
    <w:rsid w:val="FD6F600B"/>
    <w:rsid w:val="FDBF1536"/>
    <w:rsid w:val="FE2F5B5A"/>
    <w:rsid w:val="FE7D9353"/>
    <w:rsid w:val="FECDA975"/>
    <w:rsid w:val="FEEFA429"/>
    <w:rsid w:val="FEF9B186"/>
    <w:rsid w:val="FEFEC111"/>
    <w:rsid w:val="FEFF4A26"/>
    <w:rsid w:val="FF599AE5"/>
    <w:rsid w:val="FF5B9A42"/>
    <w:rsid w:val="FF5F1E14"/>
    <w:rsid w:val="FF722301"/>
    <w:rsid w:val="FF9C9063"/>
    <w:rsid w:val="FFBD2464"/>
    <w:rsid w:val="FFEC1714"/>
    <w:rsid w:val="FFFB6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afterLines="50" w:line="300" w:lineRule="auto"/>
      <w:ind w:firstLine="420" w:firstLineChars="200"/>
    </w:pPr>
    <w:rPr>
      <w:rFonts w:ascii="Times New Roman" w:hAnsi="Times New Roman" w:cs="Times New Roman"/>
      <w:szCs w:val="24"/>
    </w:rPr>
  </w:style>
  <w:style w:type="paragraph" w:styleId="3">
    <w:name w:val="annotation text"/>
    <w:basedOn w:val="1"/>
    <w:semiHidden/>
    <w:unhideWhenUsed/>
    <w:qFormat/>
    <w:uiPriority w:val="99"/>
    <w:pPr>
      <w:jc w:val="left"/>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129</Words>
  <Characters>741</Characters>
  <Lines>6</Lines>
  <Paragraphs>1</Paragraphs>
  <TotalTime>0</TotalTime>
  <ScaleCrop>false</ScaleCrop>
  <LinksUpToDate>false</LinksUpToDate>
  <CharactersWithSpaces>869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2022-09-26T23:42:00Z</dcterms:created>
  <dc:creator>张恒zh</dc:creator>
  <cp:lastModifiedBy>gaoduo</cp:lastModifiedBy>
  <dcterms:modified xsi:type="dcterms:W3CDTF">2024-04-18T15:45:17Z</dcterms:modified>
  <dc:title>北证办发〔2023〕X号附件2</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