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bookmarkStart w:id="101" w:name="_GoBack"/>
      <w:bookmarkEnd w:id="101"/>
    </w:p>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北交所</w:t>
      </w:r>
      <w:r>
        <w:rPr>
          <w:rFonts w:hint="eastAsia" w:ascii="方正大标宋简体" w:eastAsia="方正大标宋简体" w:cs="Times New Roman"/>
          <w:color w:val="000000" w:themeColor="text1"/>
          <w:sz w:val="42"/>
          <w:szCs w:val="42"/>
          <w:lang w:val="en"/>
          <w14:textFill>
            <w14:solidFill>
              <w14:schemeClr w14:val="tx1"/>
            </w14:solidFill>
          </w14:textFill>
        </w:rPr>
        <w:t>股票启用新证券代码号段</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第一次全网测试方案</w:t>
      </w: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0" w:firstLineChars="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二四年三月</w:t>
      </w:r>
    </w:p>
    <w:p>
      <w:pPr>
        <w:tabs>
          <w:tab w:val="center" w:pos="4153"/>
          <w:tab w:val="left" w:pos="5595"/>
        </w:tabs>
        <w:spacing w:before="144"/>
        <w:ind w:firstLine="0" w:firstLineChars="0"/>
        <w:jc w:val="center"/>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28"/>
          <w14:textFill>
            <w14:solidFill>
              <w14:schemeClr w14:val="tx1"/>
            </w14:solidFill>
          </w14:textFill>
        </w:rPr>
        <w:t>关于本文档</w:t>
      </w:r>
    </w:p>
    <w:p>
      <w:pPr>
        <w:spacing w:before="144"/>
        <w:ind w:firstLine="480"/>
        <w:jc w:val="center"/>
        <w:rPr>
          <w:rFonts w:eastAsia="方正仿宋简体" w:cs="Times New Roman"/>
          <w:color w:val="000000" w:themeColor="text1"/>
          <w14:textFill>
            <w14:solidFill>
              <w14:schemeClr w14:val="tx1"/>
            </w14:solidFill>
          </w14:textFill>
        </w:rPr>
      </w:pPr>
    </w:p>
    <w:tbl>
      <w:tblPr>
        <w:tblStyle w:val="37"/>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北交所股票启用新证券代码号段第一次全网测试方案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2024.2.</w:t>
            </w:r>
            <w:r>
              <w:rPr>
                <w:rFonts w:hint="eastAsia" w:ascii="Times New Roman" w:hAnsi="Times New Roman" w:eastAsia="方正仿宋简体"/>
                <w:color w:val="000000" w:themeColor="text1"/>
                <w14:textFill>
                  <w14:solidFill>
                    <w14:schemeClr w14:val="tx1"/>
                  </w14:solidFill>
                </w14:textFill>
              </w:rPr>
              <w:t>1</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0" w:firstLineChars="0"/>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"_Toc157623417" </w:instrText>
      </w:r>
      <w:r>
        <w:fldChar w:fldCharType="separate"/>
      </w:r>
      <w:r>
        <w:rPr>
          <w:rStyle w:val="44"/>
          <w:rFonts w:hint="eastAsia"/>
        </w:rPr>
        <w:t>一、测试目的和背景</w:t>
      </w:r>
      <w:r>
        <w:tab/>
      </w:r>
      <w:r>
        <w:fldChar w:fldCharType="begin"/>
      </w:r>
      <w:r>
        <w:instrText xml:space="preserve"> PAGEREF _Toc157623417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"_Toc157623418" </w:instrText>
      </w:r>
      <w:r>
        <w:fldChar w:fldCharType="separate"/>
      </w:r>
      <w:r>
        <w:rPr>
          <w:rStyle w:val="44"/>
          <w:rFonts w:hint="eastAsia"/>
        </w:rPr>
        <w:t>二、参测机构</w:t>
      </w:r>
      <w:r>
        <w:tab/>
      </w:r>
      <w:r>
        <w:fldChar w:fldCharType="begin"/>
      </w:r>
      <w:r>
        <w:instrText xml:space="preserve"> PAGEREF _Toc157623418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"_Toc157623419" </w:instrText>
      </w:r>
      <w:r>
        <w:fldChar w:fldCharType="separate"/>
      </w:r>
      <w:r>
        <w:rPr>
          <w:rStyle w:val="44"/>
          <w:rFonts w:hint="eastAsia"/>
        </w:rPr>
        <w:t>三、参测技术系统</w:t>
      </w:r>
      <w:r>
        <w:tab/>
      </w:r>
      <w:r>
        <w:fldChar w:fldCharType="begin"/>
      </w:r>
      <w:r>
        <w:instrText xml:space="preserve"> PAGEREF _Toc157623419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"_Toc157623420" </w:instrText>
      </w:r>
      <w:r>
        <w:fldChar w:fldCharType="separate"/>
      </w:r>
      <w:r>
        <w:rPr>
          <w:rStyle w:val="44"/>
          <w:rFonts w:hint="eastAsia"/>
        </w:rPr>
        <w:t>四、全网测试时间安排</w:t>
      </w:r>
      <w:r>
        <w:tab/>
      </w:r>
      <w:r>
        <w:fldChar w:fldCharType="begin"/>
      </w:r>
      <w:r>
        <w:instrText xml:space="preserve"> PAGEREF _Toc157623420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"_Toc157623421" </w:instrText>
      </w:r>
      <w:r>
        <w:fldChar w:fldCharType="separate"/>
      </w:r>
      <w:r>
        <w:rPr>
          <w:rStyle w:val="44"/>
          <w:rFonts w:hint="eastAsia"/>
        </w:rPr>
        <w:t>五、全网测试内容</w:t>
      </w:r>
      <w:r>
        <w:tab/>
      </w:r>
      <w:r>
        <w:fldChar w:fldCharType="begin"/>
      </w:r>
      <w:r>
        <w:instrText xml:space="preserve"> PAGEREF _Toc157623421 \h </w:instrText>
      </w:r>
      <w:r>
        <w:fldChar w:fldCharType="separate"/>
      </w:r>
      <w:r>
        <w:t>- 3 -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"_Toc157623422" </w:instrText>
      </w:r>
      <w:r>
        <w:fldChar w:fldCharType="separate"/>
      </w:r>
      <w:r>
        <w:rPr>
          <w:rStyle w:val="44"/>
          <w:rFonts w:hint="eastAsia"/>
        </w:rPr>
        <w:t>六、测试场景及相关说明</w:t>
      </w:r>
      <w:r>
        <w:tab/>
      </w:r>
      <w:r>
        <w:fldChar w:fldCharType="begin"/>
      </w:r>
      <w:r>
        <w:instrText xml:space="preserve"> PAGEREF _Toc157623422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"_Toc157623423" </w:instrText>
      </w:r>
      <w:r>
        <w:fldChar w:fldCharType="separate"/>
      </w:r>
      <w:r>
        <w:rPr>
          <w:rStyle w:val="44"/>
          <w:rFonts w:hint="eastAsia" w:ascii="楷体" w:hAnsi="楷体"/>
        </w:rPr>
        <w:t>（一）公开发行测试证券及测试时间安排</w:t>
      </w:r>
      <w:r>
        <w:tab/>
      </w:r>
      <w:r>
        <w:fldChar w:fldCharType="begin"/>
      </w:r>
      <w:r>
        <w:instrText xml:space="preserve"> PAGEREF _Toc157623423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"_Toc157623424" </w:instrText>
      </w:r>
      <w:r>
        <w:fldChar w:fldCharType="separate"/>
      </w:r>
      <w:r>
        <w:rPr>
          <w:rStyle w:val="44"/>
          <w:rFonts w:hint="eastAsia" w:ascii="楷体" w:hAnsi="楷体"/>
        </w:rPr>
        <w:t>（二）日常交易测试证券及测试时间安排</w:t>
      </w:r>
      <w:r>
        <w:tab/>
      </w:r>
      <w:r>
        <w:fldChar w:fldCharType="begin"/>
      </w:r>
      <w:r>
        <w:instrText xml:space="preserve"> PAGEREF _Toc157623424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"_Toc157623425" </w:instrText>
      </w:r>
      <w:r>
        <w:fldChar w:fldCharType="separate"/>
      </w:r>
      <w:r>
        <w:rPr>
          <w:rStyle w:val="44"/>
          <w:rFonts w:hint="eastAsia" w:ascii="楷体" w:hAnsi="楷体"/>
        </w:rPr>
        <w:t>（三）测试要求和说明</w:t>
      </w:r>
      <w:r>
        <w:tab/>
      </w:r>
      <w:r>
        <w:fldChar w:fldCharType="begin"/>
      </w:r>
      <w:r>
        <w:instrText xml:space="preserve"> PAGEREF _Toc157623425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"_Toc157623426" </w:instrText>
      </w:r>
      <w:r>
        <w:fldChar w:fldCharType="separate"/>
      </w:r>
      <w:r>
        <w:rPr>
          <w:rStyle w:val="44"/>
          <w:rFonts w:hint="eastAsia"/>
        </w:rPr>
        <w:t>七、全网测试数据准备</w:t>
      </w:r>
      <w:r>
        <w:tab/>
      </w:r>
      <w:r>
        <w:fldChar w:fldCharType="begin"/>
      </w:r>
      <w:r>
        <w:instrText xml:space="preserve"> PAGEREF _Toc157623426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"_Toc157623427" </w:instrText>
      </w:r>
      <w:r>
        <w:fldChar w:fldCharType="separate"/>
      </w:r>
      <w:r>
        <w:rPr>
          <w:rStyle w:val="44"/>
          <w:rFonts w:hint="eastAsia" w:ascii="楷体" w:hAnsi="楷体"/>
        </w:rPr>
        <w:t>（一）证券行情信息和证券信息</w:t>
      </w:r>
      <w:r>
        <w:tab/>
      </w:r>
      <w:r>
        <w:fldChar w:fldCharType="begin"/>
      </w:r>
      <w:r>
        <w:instrText xml:space="preserve"> PAGEREF _Toc157623427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"_Toc157623428" </w:instrText>
      </w:r>
      <w:r>
        <w:fldChar w:fldCharType="separate"/>
      </w:r>
      <w:r>
        <w:rPr>
          <w:rStyle w:val="44"/>
          <w:rFonts w:hint="eastAsia" w:ascii="楷体" w:hAnsi="楷体"/>
        </w:rPr>
        <w:t>（二）证券账户、交易单元、托管单元及持仓</w:t>
      </w:r>
      <w:r>
        <w:tab/>
      </w:r>
      <w:r>
        <w:fldChar w:fldCharType="begin"/>
      </w:r>
      <w:r>
        <w:instrText xml:space="preserve"> PAGEREF _Toc157623428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"_Toc157623429" </w:instrText>
      </w:r>
      <w:r>
        <w:fldChar w:fldCharType="separate"/>
      </w:r>
      <w:r>
        <w:rPr>
          <w:rStyle w:val="44"/>
          <w:rFonts w:hint="eastAsia" w:ascii="楷体" w:hAnsi="楷体"/>
        </w:rPr>
        <w:t>（三）交易网关、行情网关和结算网关</w:t>
      </w:r>
      <w:r>
        <w:tab/>
      </w:r>
      <w:r>
        <w:fldChar w:fldCharType="begin"/>
      </w:r>
      <w:r>
        <w:instrText xml:space="preserve"> PAGEREF _Toc157623429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"_Toc157623430" </w:instrText>
      </w:r>
      <w:r>
        <w:fldChar w:fldCharType="separate"/>
      </w:r>
      <w:r>
        <w:rPr>
          <w:rStyle w:val="44"/>
          <w:rFonts w:hint="eastAsia"/>
        </w:rPr>
        <w:t>（四）</w:t>
      </w:r>
      <w:r>
        <w:rPr>
          <w:rStyle w:val="44"/>
        </w:rPr>
        <w:t>FDEP</w:t>
      </w:r>
      <w:r>
        <w:rPr>
          <w:rStyle w:val="44"/>
          <w:rFonts w:hint="eastAsia"/>
        </w:rPr>
        <w:t>小站</w:t>
      </w:r>
      <w:r>
        <w:tab/>
      </w:r>
      <w:r>
        <w:fldChar w:fldCharType="begin"/>
      </w:r>
      <w:r>
        <w:instrText xml:space="preserve"> PAGEREF _Toc157623430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"_Toc157623431" </w:instrText>
      </w:r>
      <w:r>
        <w:fldChar w:fldCharType="separate"/>
      </w:r>
      <w:r>
        <w:rPr>
          <w:rStyle w:val="44"/>
          <w:rFonts w:hint="eastAsia"/>
        </w:rPr>
        <w:t>八、全网测试系统接入方式</w:t>
      </w:r>
      <w:r>
        <w:tab/>
      </w:r>
      <w:r>
        <w:fldChar w:fldCharType="begin"/>
      </w:r>
      <w:r>
        <w:instrText xml:space="preserve"> PAGEREF _Toc157623431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"_Toc157623432" </w:instrText>
      </w:r>
      <w:r>
        <w:fldChar w:fldCharType="separate"/>
      </w:r>
      <w:r>
        <w:rPr>
          <w:rStyle w:val="44"/>
          <w:rFonts w:hint="eastAsia"/>
        </w:rPr>
        <w:t>（一）参测机构接入深证通</w:t>
      </w:r>
      <w:r>
        <w:tab/>
      </w:r>
      <w:r>
        <w:fldChar w:fldCharType="begin"/>
      </w:r>
      <w:r>
        <w:instrText xml:space="preserve"> PAGEREF _Toc157623432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"_Toc157623433" </w:instrText>
      </w:r>
      <w:r>
        <w:fldChar w:fldCharType="separate"/>
      </w:r>
      <w:r>
        <w:rPr>
          <w:rStyle w:val="44"/>
          <w:rFonts w:hint="eastAsia"/>
        </w:rPr>
        <w:t>（二）参测机构接入中国结算</w:t>
      </w:r>
      <w:r>
        <w:tab/>
      </w:r>
      <w:r>
        <w:fldChar w:fldCharType="begin"/>
      </w:r>
      <w:r>
        <w:instrText xml:space="preserve"> PAGEREF _Toc157623433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"_Toc157623434" </w:instrText>
      </w:r>
      <w:r>
        <w:fldChar w:fldCharType="separate"/>
      </w:r>
      <w:r>
        <w:rPr>
          <w:rStyle w:val="44"/>
          <w:rFonts w:hint="eastAsia"/>
        </w:rPr>
        <w:t>（三）测试相关软件下载</w:t>
      </w:r>
      <w:r>
        <w:tab/>
      </w:r>
      <w:r>
        <w:fldChar w:fldCharType="begin"/>
      </w:r>
      <w:r>
        <w:instrText xml:space="preserve"> PAGEREF _Toc157623434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"_Toc157623435" </w:instrText>
      </w:r>
      <w:r>
        <w:fldChar w:fldCharType="separate"/>
      </w:r>
      <w:r>
        <w:rPr>
          <w:rStyle w:val="44"/>
          <w:rFonts w:hint="eastAsia"/>
        </w:rPr>
        <w:t>九、测试要求及注意事项</w:t>
      </w:r>
      <w:r>
        <w:tab/>
      </w:r>
      <w:r>
        <w:fldChar w:fldCharType="begin"/>
      </w:r>
      <w:r>
        <w:instrText xml:space="preserve"> PAGEREF _Toc157623435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"_Toc157623436" </w:instrText>
      </w:r>
      <w:r>
        <w:fldChar w:fldCharType="separate"/>
      </w:r>
      <w:r>
        <w:rPr>
          <w:rStyle w:val="44"/>
          <w:rFonts w:hint="eastAsia"/>
        </w:rPr>
        <w:t>十、联系方式</w:t>
      </w:r>
      <w:r>
        <w:tab/>
      </w:r>
      <w:r>
        <w:fldChar w:fldCharType="begin"/>
      </w:r>
      <w:r>
        <w:instrText xml:space="preserve"> PAGEREF _Toc157623436 \h </w:instrText>
      </w:r>
      <w:r>
        <w:fldChar w:fldCharType="separate"/>
      </w:r>
      <w:r>
        <w:t>- 10 -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spacing w:before="163" w:after="163"/>
        <w:ind w:firstLine="600"/>
      </w:pPr>
      <w:bookmarkStart w:id="0" w:name="_Toc366050038"/>
      <w:bookmarkStart w:id="1" w:name="_Toc374381911"/>
      <w:bookmarkStart w:id="2" w:name="_Toc1748422228"/>
      <w:bookmarkStart w:id="3" w:name="_Toc374381845"/>
      <w:bookmarkStart w:id="4" w:name="_Toc376597516"/>
      <w:bookmarkStart w:id="5" w:name="_Toc375557957"/>
      <w:bookmarkStart w:id="6" w:name="_Toc374957903"/>
      <w:bookmarkStart w:id="7" w:name="_Toc375070721"/>
      <w:bookmarkStart w:id="8" w:name="_Toc157623417"/>
      <w:bookmarkStart w:id="9" w:name="_Toc376285219"/>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验证北京证券交易所股票启用新证券代码号段技术系统准备情况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（简称北交所）、</w:t>
      </w:r>
      <w:r>
        <w:rPr>
          <w:rFonts w:cs="Times New Roman"/>
          <w:color w:val="000000" w:themeColor="text1"/>
          <w:sz w:val="30"/>
          <w:szCs w:val="30"/>
          <w14:textFill>
            <w14:solidFill>
              <w14:schemeClr w14:val="tx1"/>
            </w14:solidFill>
          </w14:textFill>
        </w:rPr>
        <w:t>全国中小企业股份转让系统有限责任公司（简称</w:t>
      </w:r>
      <w:r>
        <w:rPr>
          <w:rFonts w:ascii="仿宋" w:hAnsi="仿宋" w:cs="Times New Roman"/>
          <w:color w:val="000000" w:themeColor="text1"/>
          <w:sz w:val="30"/>
          <w:szCs w:val="30"/>
          <w14:textFill>
            <w14:solidFill>
              <w14:schemeClr w14:val="tx1"/>
            </w14:solidFill>
          </w14:textFill>
        </w:rPr>
        <w:t>全国股转公司</w:t>
      </w:r>
      <w:r>
        <w:rPr>
          <w:rFonts w:cs="Times New Roman"/>
          <w:color w:val="000000" w:themeColor="text1"/>
          <w:sz w:val="30"/>
          <w:szCs w:val="30"/>
          <w14:textFill>
            <w14:solidFill>
              <w14:schemeClr w14:val="tx1"/>
            </w14:solidFill>
          </w14:textFill>
        </w:rPr>
        <w:t>）联合中国证券登记结算有限责任公司（简称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进行全网测试</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各参测机构认真阅读本测试方案，在测试过程中按照要求进行充分测试。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11" w:name="_Toc375070722"/>
      <w:bookmarkStart w:id="12" w:name="_Toc374381912"/>
      <w:bookmarkStart w:id="13" w:name="_Toc375557958"/>
      <w:bookmarkStart w:id="14" w:name="_Toc376597517"/>
      <w:bookmarkStart w:id="15" w:name="_Toc376285220"/>
      <w:bookmarkStart w:id="16" w:name="_Toc374381846"/>
      <w:bookmarkStart w:id="17" w:name="_Toc374957904"/>
      <w:bookmarkStart w:id="18" w:name="_Toc157623418"/>
      <w:bookmarkStart w:id="19" w:name="_Toc1894743054"/>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开展北交所业务的证券公司、</w:t>
      </w:r>
      <w:r>
        <w:rPr>
          <w:rFonts w:cs="Times New Roman"/>
          <w:color w:val="000000" w:themeColor="text1"/>
          <w:sz w:val="30"/>
          <w:szCs w:val="30"/>
          <w14:textFill>
            <w14:solidFill>
              <w14:schemeClr w14:val="tx1"/>
            </w14:solidFill>
          </w14:textFill>
        </w:rPr>
        <w:t>基金公司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w:t>
      </w:r>
    </w:p>
    <w:p>
      <w:pPr>
        <w:pStyle w:val="101"/>
        <w:spacing w:line="240" w:lineRule="auto"/>
        <w:ind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0" w:name="_Toc376285224"/>
      <w:bookmarkStart w:id="21" w:name="_Toc376597521"/>
      <w:bookmarkStart w:id="22" w:name="_Toc374381850"/>
      <w:bookmarkStart w:id="23" w:name="_Toc375070726"/>
      <w:bookmarkStart w:id="24" w:name="_Toc374957908"/>
      <w:bookmarkStart w:id="25" w:name="_Toc257742172"/>
      <w:bookmarkStart w:id="26" w:name="_Toc374381916"/>
      <w:bookmarkStart w:id="27" w:name="_Toc157623419"/>
      <w:bookmarkStart w:id="28" w:name="_Toc375557962"/>
      <w:r>
        <w:rPr>
          <w:rFonts w:hint="eastAsia"/>
        </w:rPr>
        <w:t>三、</w:t>
      </w:r>
      <w:r>
        <w:t>参测技术系统</w:t>
      </w:r>
      <w:bookmarkEnd w:id="20"/>
      <w:bookmarkEnd w:id="21"/>
      <w:bookmarkEnd w:id="22"/>
      <w:bookmarkEnd w:id="23"/>
      <w:bookmarkEnd w:id="24"/>
      <w:bookmarkEnd w:id="25"/>
      <w:bookmarkEnd w:id="26"/>
      <w:bookmarkEnd w:id="27"/>
      <w:bookmarkEnd w:id="28"/>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北交所和全国股转公司</w:t>
      </w:r>
      <w:r>
        <w:rPr>
          <w:rFonts w:cs="Times New Roman"/>
          <w:color w:val="000000" w:themeColor="text1"/>
          <w:sz w:val="30"/>
          <w:szCs w:val="30"/>
          <w14:textFill>
            <w14:solidFill>
              <w14:schemeClr w14:val="tx1"/>
            </w14:solidFill>
          </w14:textFill>
        </w:rPr>
        <w:t>交易支持平台全网环境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市场证券登记结算系统全网</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环</w:t>
      </w:r>
      <w:r>
        <w:rPr>
          <w:rFonts w:cs="Times New Roman"/>
          <w:sz w:val="30"/>
          <w:szCs w:val="30"/>
        </w:rPr>
        <w:t>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通信系统和金融数据交换平台</w:t>
      </w:r>
      <w:r>
        <w:rPr>
          <w:rFonts w:hint="eastAsia" w:cs="Times New Roman"/>
          <w:color w:val="000000" w:themeColor="text1"/>
          <w:sz w:val="30"/>
          <w:szCs w:val="30"/>
          <w14:textFill>
            <w14:solidFill>
              <w14:schemeClr w14:val="tx1"/>
            </w14:solidFill>
          </w14:textFill>
        </w:rPr>
        <w:t>（FDEP）</w:t>
      </w:r>
      <w:r>
        <w:rPr>
          <w:rFonts w:cs="Times New Roman"/>
          <w:color w:val="000000" w:themeColor="text1"/>
          <w:sz w:val="30"/>
          <w:szCs w:val="30"/>
          <w14:textFill>
            <w14:solidFill>
              <w14:schemeClr w14:val="tx1"/>
            </w14:solidFill>
          </w14:textFill>
        </w:rPr>
        <w:t>全网环境</w:t>
      </w:r>
    </w:p>
    <w:p>
      <w:pPr>
        <w:pStyle w:val="101"/>
        <w:numPr>
          <w:ilvl w:val="0"/>
          <w:numId w:val="5"/>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基金公司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相关测试环境</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9" w:name="_Toc1647921772"/>
      <w:bookmarkStart w:id="30" w:name="_Toc157623420"/>
      <w:r>
        <w:rPr>
          <w:rFonts w:hint="eastAsia"/>
        </w:rPr>
        <w:t>四、</w:t>
      </w:r>
      <w:r>
        <w:t>全网测试时间安排</w:t>
      </w:r>
      <w:bookmarkEnd w:id="29"/>
      <w:bookmarkEnd w:id="3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w:t>
      </w:r>
      <w:r>
        <w:rPr>
          <w:rFonts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23</w:t>
      </w:r>
      <w:r>
        <w:rPr>
          <w:rFonts w:hint="eastAsia" w:cs="Times New Roman"/>
          <w:color w:val="000000" w:themeColor="text1"/>
          <w:sz w:val="30"/>
          <w:szCs w:val="30"/>
          <w14:textFill>
            <w14:solidFill>
              <w14:schemeClr w14:val="tx1"/>
            </w14:solidFill>
          </w14:textFill>
        </w:rPr>
        <w:t xml:space="preserve">日 </w:t>
      </w:r>
      <w:r>
        <w:rPr>
          <w:rFonts w:cs="Times New Roman"/>
          <w:color w:val="000000" w:themeColor="text1"/>
          <w:sz w:val="30"/>
          <w:szCs w:val="30"/>
          <w14:textFill>
            <w14:solidFill>
              <w14:schemeClr w14:val="tx1"/>
            </w14:solidFill>
          </w14:textFill>
        </w:rPr>
        <w:t xml:space="preserve"> </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全网测试过程中模拟T日和T+</w:t>
      </w:r>
      <w:r>
        <w:rPr>
          <w:rFonts w:cs="Times New Roman"/>
          <w:color w:val="000000" w:themeColor="text1"/>
          <w:sz w:val="30"/>
          <w:szCs w:val="30"/>
          <w14:textFill>
            <w14:solidFill>
              <w14:schemeClr w14:val="tx1"/>
            </w14:solidFill>
          </w14:textFill>
        </w:rPr>
        <w:t>1日</w:t>
      </w:r>
      <w:r>
        <w:rPr>
          <w:rFonts w:hint="eastAsia" w:cs="Times New Roman"/>
          <w:color w:val="000000" w:themeColor="text1"/>
          <w:sz w:val="30"/>
          <w:szCs w:val="30"/>
          <w14:textFill>
            <w14:solidFill>
              <w14:schemeClr w14:val="tx1"/>
            </w14:solidFill>
          </w14:textFill>
        </w:rPr>
        <w:t>两个交易日。其中T日日间市场可进行新代码股票的询价、申购和交易申报，日终完成拟上市股票代码切换。T+1日日间模拟新代码股票上市后交易场景，市场可进行各类交易申报，同时开展发行股票的申购和配售，日终完成新代码股票的清算交收。</w:t>
      </w:r>
    </w:p>
    <w:tbl>
      <w:tblPr>
        <w:tblStyle w:val="3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43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38" w:type="dxa"/>
            <w:shd w:val="clear" w:color="auto" w:fill="F1F1F1" w:themeFill="background1" w:themeFillShade="F2"/>
          </w:tcPr>
          <w:p>
            <w:pPr>
              <w:spacing w:line="360" w:lineRule="auto"/>
              <w:ind w:firstLine="0" w:firstLineChars="0"/>
              <w:jc w:val="center"/>
              <w:rPr>
                <w:rFonts w:cs="Times New Roman"/>
                <w:b/>
              </w:rPr>
            </w:pPr>
            <w:bookmarkStart w:id="31" w:name="_Toc376597522"/>
            <w:r>
              <w:rPr>
                <w:rFonts w:cs="Times New Roman"/>
                <w:b/>
              </w:rPr>
              <w:t>测试时间</w:t>
            </w:r>
          </w:p>
        </w:tc>
        <w:tc>
          <w:tcPr>
            <w:tcW w:w="2430" w:type="dxa"/>
            <w:shd w:val="clear" w:color="auto" w:fill="F1F1F1" w:themeFill="background1" w:themeFillShade="F2"/>
          </w:tcPr>
          <w:p>
            <w:pPr>
              <w:spacing w:line="360" w:lineRule="auto"/>
              <w:ind w:firstLine="0" w:firstLineChars="0"/>
              <w:jc w:val="center"/>
              <w:rPr>
                <w:rFonts w:cs="Times New Roman"/>
                <w:b/>
              </w:rPr>
            </w:pPr>
            <w:r>
              <w:rPr>
                <w:rFonts w:cs="Times New Roman"/>
                <w:b/>
              </w:rPr>
              <w:t>模拟业务场景</w:t>
            </w:r>
          </w:p>
        </w:tc>
        <w:tc>
          <w:tcPr>
            <w:tcW w:w="4274" w:type="dxa"/>
            <w:shd w:val="clear" w:color="auto" w:fill="F1F1F1" w:themeFill="background1" w:themeFillShade="F2"/>
          </w:tcPr>
          <w:p>
            <w:pPr>
              <w:spacing w:line="360" w:lineRule="auto"/>
              <w:ind w:firstLine="0" w:firstLineChars="0"/>
              <w:jc w:val="center"/>
              <w:rPr>
                <w:rFonts w:cs="Times New Roman"/>
                <w:b/>
              </w:rPr>
            </w:pPr>
            <w:r>
              <w:rPr>
                <w:rFonts w:cs="Times New Roman"/>
                <w:b/>
              </w:rPr>
              <w:t>交易时间安排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9:1</w:t>
            </w:r>
            <w:r>
              <w:rPr>
                <w:rFonts w:cs="Times New Roman"/>
              </w:rPr>
              <w:t>5至11</w:t>
            </w:r>
            <w:r>
              <w:rPr>
                <w:rFonts w:hint="eastAsia" w:cs="Times New Roman"/>
              </w:rPr>
              <w:t>:0</w:t>
            </w:r>
            <w:r>
              <w:rPr>
                <w:rFonts w:cs="Times New Roman"/>
              </w:rPr>
              <w:t>0</w:t>
            </w:r>
          </w:p>
        </w:tc>
        <w:tc>
          <w:tcPr>
            <w:tcW w:w="2430" w:type="dxa"/>
            <w:vMerge w:val="restart"/>
            <w:vAlign w:val="center"/>
          </w:tcPr>
          <w:p>
            <w:pPr>
              <w:spacing w:line="360" w:lineRule="auto"/>
              <w:ind w:firstLine="0" w:firstLineChars="0"/>
              <w:jc w:val="both"/>
              <w:rPr>
                <w:rFonts w:cs="Times New Roman"/>
              </w:rPr>
            </w:pPr>
            <w:r>
              <w:rPr>
                <w:rFonts w:cs="Times New Roman"/>
              </w:rPr>
              <w:t>T日日间交易</w:t>
            </w:r>
          </w:p>
        </w:tc>
        <w:tc>
          <w:tcPr>
            <w:tcW w:w="4274" w:type="dxa"/>
            <w:vAlign w:val="center"/>
          </w:tcPr>
          <w:p>
            <w:pPr>
              <w:spacing w:line="360" w:lineRule="auto"/>
              <w:ind w:firstLine="0" w:firstLineChars="0"/>
              <w:jc w:val="both"/>
              <w:rPr>
                <w:rFonts w:cs="Times New Roman"/>
              </w:rPr>
            </w:pPr>
            <w:r>
              <w:rPr>
                <w:rFonts w:hint="eastAsia" w:cs="Times New Roman"/>
              </w:rPr>
              <w:t>9:1</w:t>
            </w:r>
            <w:r>
              <w:rPr>
                <w:rFonts w:cs="Times New Roman"/>
              </w:rPr>
              <w:t>5</w:t>
            </w:r>
            <w:r>
              <w:rPr>
                <w:rFonts w:hint="eastAsia" w:cs="Times New Roman"/>
              </w:rPr>
              <w:t>-</w:t>
            </w:r>
            <w:r>
              <w:rPr>
                <w:rFonts w:cs="Times New Roman"/>
              </w:rPr>
              <w:t>9</w:t>
            </w:r>
            <w:r>
              <w:rPr>
                <w:rFonts w:hint="eastAsia" w:cs="Times New Roman"/>
              </w:rPr>
              <w:t>:3</w:t>
            </w:r>
            <w:r>
              <w:rPr>
                <w:rFonts w:cs="Times New Roman"/>
              </w:rPr>
              <w:t>0 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9:3</w:t>
            </w:r>
            <w:r>
              <w:rPr>
                <w:rFonts w:cs="Times New Roman"/>
              </w:rPr>
              <w:t>0</w:t>
            </w:r>
            <w:r>
              <w:rPr>
                <w:rFonts w:hint="eastAsia" w:cs="Times New Roman"/>
              </w:rPr>
              <w:t>-</w:t>
            </w:r>
            <w:r>
              <w:rPr>
                <w:rFonts w:cs="Times New Roman"/>
              </w:rPr>
              <w:t>10</w:t>
            </w:r>
            <w:r>
              <w:rPr>
                <w:rFonts w:hint="eastAsia" w:cs="Times New Roman"/>
              </w:rPr>
              <w:t>:0</w:t>
            </w:r>
            <w:r>
              <w:rPr>
                <w:rFonts w:cs="Times New Roman"/>
              </w:rPr>
              <w:t>0模拟上午交易时段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:0</w:t>
            </w:r>
            <w:r>
              <w:rPr>
                <w:rFonts w:cs="Times New Roman"/>
              </w:rPr>
              <w:t>0</w:t>
            </w:r>
            <w:r>
              <w:rPr>
                <w:rFonts w:hint="eastAsia" w:cs="Times New Roman"/>
              </w:rPr>
              <w:t>-</w:t>
            </w:r>
            <w:r>
              <w:rPr>
                <w:rFonts w:cs="Times New Roman"/>
              </w:rPr>
              <w:t>10</w:t>
            </w:r>
            <w:r>
              <w:rPr>
                <w:rFonts w:hint="eastAsia" w:cs="Times New Roman"/>
              </w:rPr>
              <w:t>:0</w:t>
            </w:r>
            <w:r>
              <w:rPr>
                <w:rFonts w:cs="Times New Roman"/>
              </w:rPr>
              <w:t>5模拟午间休市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:0</w:t>
            </w:r>
            <w:r>
              <w:rPr>
                <w:rFonts w:cs="Times New Roman"/>
              </w:rPr>
              <w:t>5</w:t>
            </w:r>
            <w:r>
              <w:rPr>
                <w:rFonts w:hint="eastAsia" w:cs="Times New Roman"/>
              </w:rPr>
              <w:t>-</w:t>
            </w:r>
            <w:r>
              <w:rPr>
                <w:rFonts w:cs="Times New Roman"/>
              </w:rPr>
              <w:t>10</w:t>
            </w:r>
            <w:r>
              <w:rPr>
                <w:rFonts w:hint="eastAsia" w:cs="Times New Roman"/>
              </w:rPr>
              <w:t>:5</w:t>
            </w:r>
            <w:r>
              <w:rPr>
                <w:rFonts w:cs="Times New Roman"/>
              </w:rPr>
              <w:t>0模拟下午交易时段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:5</w:t>
            </w:r>
            <w:r>
              <w:rPr>
                <w:rFonts w:cs="Times New Roman"/>
              </w:rPr>
              <w:t>0</w:t>
            </w:r>
            <w:r>
              <w:rPr>
                <w:rFonts w:hint="eastAsia" w:cs="Times New Roman"/>
              </w:rPr>
              <w:t>-</w:t>
            </w:r>
            <w:r>
              <w:rPr>
                <w:rFonts w:cs="Times New Roman"/>
              </w:rPr>
              <w:t>11</w:t>
            </w:r>
            <w:r>
              <w:rPr>
                <w:rFonts w:hint="eastAsia" w:cs="Times New Roman"/>
              </w:rPr>
              <w:t>:0</w:t>
            </w:r>
            <w:r>
              <w:rPr>
                <w:rFonts w:cs="Times New Roman"/>
              </w:rPr>
              <w:t>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1</w:t>
            </w:r>
            <w:r>
              <w:rPr>
                <w:rFonts w:hint="eastAsia" w:cs="Times New Roman"/>
              </w:rPr>
              <w:t>:0</w:t>
            </w:r>
            <w:r>
              <w:rPr>
                <w:rFonts w:cs="Times New Roman"/>
              </w:rPr>
              <w:t>0至</w:t>
            </w:r>
            <w:r>
              <w:rPr>
                <w:rFonts w:hint="eastAsia" w:cs="Times New Roman"/>
              </w:rPr>
              <w:t>1</w:t>
            </w:r>
            <w:r>
              <w:rPr>
                <w:rFonts w:cs="Times New Roman"/>
              </w:rPr>
              <w:t>5</w:t>
            </w:r>
            <w:r>
              <w:rPr>
                <w:rFonts w:hint="eastAsia" w:cs="Times New Roman"/>
              </w:rPr>
              <w:t>:0</w:t>
            </w:r>
            <w:r>
              <w:rPr>
                <w:rFonts w:cs="Times New Roman"/>
              </w:rPr>
              <w:t>0</w:t>
            </w:r>
          </w:p>
        </w:tc>
        <w:tc>
          <w:tcPr>
            <w:tcW w:w="2430" w:type="dxa"/>
            <w:vAlign w:val="center"/>
          </w:tcPr>
          <w:p>
            <w:pPr>
              <w:spacing w:line="360" w:lineRule="auto"/>
              <w:ind w:firstLine="0" w:firstLineChars="0"/>
              <w:jc w:val="both"/>
              <w:rPr>
                <w:rFonts w:cs="Times New Roman"/>
              </w:rPr>
            </w:pPr>
            <w:r>
              <w:rPr>
                <w:rFonts w:cs="Times New Roman"/>
              </w:rPr>
              <w:t>T日清算交收</w:t>
            </w:r>
            <w:r>
              <w:rPr>
                <w:rFonts w:hint="eastAsia" w:cs="Times New Roman"/>
              </w:rPr>
              <w:t>、</w:t>
            </w:r>
            <w:r>
              <w:rPr>
                <w:rFonts w:cs="Times New Roman"/>
              </w:rPr>
              <w:t>代码切换</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1</w:t>
            </w:r>
            <w:r>
              <w:rPr>
                <w:rFonts w:hint="eastAsia" w:cs="Times New Roman"/>
              </w:rPr>
              <w:t>:0</w:t>
            </w:r>
            <w:r>
              <w:rPr>
                <w:rFonts w:cs="Times New Roman"/>
              </w:rPr>
              <w:t>0</w:t>
            </w:r>
            <w:r>
              <w:rPr>
                <w:rFonts w:hint="eastAsia" w:cs="Times New Roman"/>
              </w:rPr>
              <w:t>-</w:t>
            </w:r>
            <w:r>
              <w:rPr>
                <w:rFonts w:cs="Times New Roman"/>
              </w:rPr>
              <w:t>15</w:t>
            </w:r>
            <w:r>
              <w:rPr>
                <w:rFonts w:hint="eastAsia" w:cs="Times New Roman"/>
              </w:rPr>
              <w:t>:0</w:t>
            </w:r>
            <w:r>
              <w:rPr>
                <w:rFonts w:cs="Times New Roman"/>
              </w:rPr>
              <w:t>0模拟日终及清算交收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1</w:t>
            </w:r>
            <w:r>
              <w:rPr>
                <w:rFonts w:cs="Times New Roman"/>
              </w:rPr>
              <w:t>5</w:t>
            </w:r>
            <w:r>
              <w:rPr>
                <w:rFonts w:hint="eastAsia" w:cs="Times New Roman"/>
              </w:rPr>
              <w:t>:0</w:t>
            </w:r>
            <w:r>
              <w:rPr>
                <w:rFonts w:cs="Times New Roman"/>
              </w:rPr>
              <w:t>0至</w:t>
            </w:r>
            <w:r>
              <w:rPr>
                <w:rFonts w:hint="eastAsia" w:cs="Times New Roman"/>
              </w:rPr>
              <w:t>1</w:t>
            </w:r>
            <w:r>
              <w:rPr>
                <w:rFonts w:cs="Times New Roman"/>
              </w:rPr>
              <w:t>7</w:t>
            </w:r>
            <w:r>
              <w:rPr>
                <w:rFonts w:hint="eastAsia" w:cs="Times New Roman"/>
              </w:rPr>
              <w:t>:</w:t>
            </w:r>
            <w:r>
              <w:rPr>
                <w:rFonts w:cs="Times New Roman"/>
              </w:rPr>
              <w:t>30</w:t>
            </w:r>
          </w:p>
        </w:tc>
        <w:tc>
          <w:tcPr>
            <w:tcW w:w="2430" w:type="dxa"/>
            <w:vMerge w:val="restart"/>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1日日间交易</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5</w:t>
            </w:r>
            <w:r>
              <w:rPr>
                <w:rFonts w:hint="eastAsia" w:cs="Times New Roman"/>
              </w:rPr>
              <w:t>:0</w:t>
            </w:r>
            <w:r>
              <w:rPr>
                <w:rFonts w:cs="Times New Roman"/>
              </w:rPr>
              <w:t>0</w:t>
            </w:r>
            <w:r>
              <w:rPr>
                <w:rFonts w:hint="eastAsia" w:cs="Times New Roman"/>
              </w:rPr>
              <w:t>-</w:t>
            </w:r>
            <w:r>
              <w:rPr>
                <w:rFonts w:cs="Times New Roman"/>
              </w:rPr>
              <w:t>15</w:t>
            </w:r>
            <w:r>
              <w:rPr>
                <w:rFonts w:hint="eastAsia" w:cs="Times New Roman"/>
              </w:rPr>
              <w:t>:1</w:t>
            </w:r>
            <w:r>
              <w:rPr>
                <w:rFonts w:cs="Times New Roman"/>
              </w:rPr>
              <w:t>5模拟申报收单时段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5</w:t>
            </w:r>
            <w:r>
              <w:rPr>
                <w:rFonts w:hint="eastAsia" w:cs="Times New Roman"/>
              </w:rPr>
              <w:t>:1</w:t>
            </w:r>
            <w:r>
              <w:rPr>
                <w:rFonts w:cs="Times New Roman"/>
              </w:rPr>
              <w:t>5</w:t>
            </w:r>
            <w:r>
              <w:rPr>
                <w:rFonts w:hint="eastAsia" w:cs="Times New Roman"/>
              </w:rPr>
              <w:t>-</w:t>
            </w:r>
            <w:r>
              <w:rPr>
                <w:rFonts w:cs="Times New Roman"/>
              </w:rPr>
              <w:t>16</w:t>
            </w:r>
            <w:r>
              <w:rPr>
                <w:rFonts w:hint="eastAsia" w:cs="Times New Roman"/>
              </w:rPr>
              <w:t>:0</w:t>
            </w:r>
            <w:r>
              <w:rPr>
                <w:rFonts w:cs="Times New Roman"/>
              </w:rPr>
              <w:t>0模拟上午交易时段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6</w:t>
            </w:r>
            <w:r>
              <w:rPr>
                <w:rFonts w:hint="eastAsia" w:cs="Times New Roman"/>
              </w:rPr>
              <w:t>:0</w:t>
            </w:r>
            <w:r>
              <w:rPr>
                <w:rFonts w:cs="Times New Roman"/>
              </w:rPr>
              <w:t>0</w:t>
            </w:r>
            <w:r>
              <w:rPr>
                <w:rFonts w:hint="eastAsia" w:cs="Times New Roman"/>
              </w:rPr>
              <w:t>-</w:t>
            </w:r>
            <w:r>
              <w:rPr>
                <w:rFonts w:cs="Times New Roman"/>
              </w:rPr>
              <w:t>16</w:t>
            </w:r>
            <w:r>
              <w:rPr>
                <w:rFonts w:hint="eastAsia" w:cs="Times New Roman"/>
              </w:rPr>
              <w:t>:0</w:t>
            </w:r>
            <w:r>
              <w:rPr>
                <w:rFonts w:cs="Times New Roman"/>
              </w:rPr>
              <w:t>5模拟午间休市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6</w:t>
            </w:r>
            <w:r>
              <w:rPr>
                <w:rFonts w:hint="eastAsia" w:cs="Times New Roman"/>
              </w:rPr>
              <w:t>:0</w:t>
            </w:r>
            <w:r>
              <w:rPr>
                <w:rFonts w:cs="Times New Roman"/>
              </w:rPr>
              <w:t>5</w:t>
            </w:r>
            <w:r>
              <w:rPr>
                <w:rFonts w:hint="eastAsia" w:cs="Times New Roman"/>
              </w:rPr>
              <w:t>-</w:t>
            </w:r>
            <w:r>
              <w:rPr>
                <w:rFonts w:cs="Times New Roman"/>
              </w:rPr>
              <w:t>17</w:t>
            </w:r>
            <w:r>
              <w:rPr>
                <w:rFonts w:hint="eastAsia" w:cs="Times New Roman"/>
              </w:rPr>
              <w:t>:0</w:t>
            </w:r>
            <w:r>
              <w:rPr>
                <w:rFonts w:cs="Times New Roman"/>
              </w:rPr>
              <w:t>0模拟下午交易时段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7</w:t>
            </w:r>
            <w:r>
              <w:rPr>
                <w:rFonts w:hint="eastAsia" w:cs="Times New Roman"/>
              </w:rPr>
              <w:t>:</w:t>
            </w:r>
            <w:r>
              <w:rPr>
                <w:rFonts w:cs="Times New Roman"/>
              </w:rPr>
              <w:t>00</w:t>
            </w:r>
            <w:r>
              <w:rPr>
                <w:rFonts w:hint="eastAsia" w:cs="Times New Roman"/>
              </w:rPr>
              <w:t>-</w:t>
            </w:r>
            <w:r>
              <w:rPr>
                <w:rFonts w:cs="Times New Roman"/>
              </w:rPr>
              <w:t>17</w:t>
            </w:r>
            <w:r>
              <w:rPr>
                <w:rFonts w:hint="eastAsia" w:cs="Times New Roman"/>
              </w:rPr>
              <w:t>:</w:t>
            </w:r>
            <w:r>
              <w:rPr>
                <w:rFonts w:cs="Times New Roman"/>
              </w:rPr>
              <w:t>30模拟盘后大宗交易时段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7</w:t>
            </w:r>
            <w:r>
              <w:rPr>
                <w:rFonts w:hint="eastAsia" w:cs="Times New Roman"/>
              </w:rPr>
              <w:t>:</w:t>
            </w:r>
            <w:r>
              <w:rPr>
                <w:rFonts w:cs="Times New Roman"/>
              </w:rPr>
              <w:t>30至</w:t>
            </w:r>
            <w:r>
              <w:rPr>
                <w:rFonts w:hint="eastAsia" w:cs="Times New Roman"/>
              </w:rPr>
              <w:t>2</w:t>
            </w:r>
            <w:r>
              <w:rPr>
                <w:rFonts w:cs="Times New Roman"/>
              </w:rPr>
              <w:t>0</w:t>
            </w:r>
            <w:r>
              <w:rPr>
                <w:rFonts w:hint="eastAsia" w:cs="Times New Roman"/>
              </w:rPr>
              <w:t>:</w:t>
            </w:r>
            <w:r>
              <w:rPr>
                <w:rFonts w:cs="Times New Roman"/>
              </w:rPr>
              <w:t>30</w:t>
            </w:r>
          </w:p>
        </w:tc>
        <w:tc>
          <w:tcPr>
            <w:tcW w:w="2430" w:type="dxa"/>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1日清算交收</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7</w:t>
            </w:r>
            <w:r>
              <w:rPr>
                <w:rFonts w:hint="eastAsia" w:cs="Times New Roman"/>
              </w:rPr>
              <w:t>:</w:t>
            </w:r>
            <w:r>
              <w:rPr>
                <w:rFonts w:cs="Times New Roman"/>
              </w:rPr>
              <w:t>30</w:t>
            </w:r>
            <w:r>
              <w:rPr>
                <w:rFonts w:hint="eastAsia" w:cs="Times New Roman"/>
              </w:rPr>
              <w:t>-</w:t>
            </w:r>
            <w:r>
              <w:rPr>
                <w:rFonts w:cs="Times New Roman"/>
              </w:rPr>
              <w:t>20</w:t>
            </w:r>
            <w:r>
              <w:rPr>
                <w:rFonts w:hint="eastAsia" w:cs="Times New Roman"/>
              </w:rPr>
              <w:t>:</w:t>
            </w:r>
            <w:r>
              <w:rPr>
                <w:rFonts w:cs="Times New Roman"/>
              </w:rPr>
              <w:t>30模拟日终及清算交收</w:t>
            </w:r>
          </w:p>
        </w:tc>
      </w:tr>
    </w:tbl>
    <w:p>
      <w:pPr>
        <w:spacing w:line="360" w:lineRule="auto"/>
        <w:ind w:firstLine="0" w:firstLineChars="0"/>
        <w:jc w:val="both"/>
        <w:rPr>
          <w:rFonts w:cs="Times New Roman"/>
        </w:rPr>
      </w:pPr>
    </w:p>
    <w:p>
      <w:pPr>
        <w:pStyle w:val="73"/>
        <w:spacing w:before="163" w:after="163"/>
        <w:ind w:firstLine="600"/>
      </w:pPr>
      <w:bookmarkStart w:id="32" w:name="_Toc157623421"/>
      <w:bookmarkStart w:id="33" w:name="_Toc1455581406"/>
      <w:r>
        <w:rPr>
          <w:rFonts w:hint="eastAsia"/>
        </w:rPr>
        <w:t>五、</w:t>
      </w:r>
      <w:r>
        <w:t>全网测试内容</w:t>
      </w:r>
      <w:bookmarkEnd w:id="31"/>
      <w:bookmarkEnd w:id="32"/>
      <w:bookmarkEnd w:id="33"/>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验证各参测机构技术系统已完成北交所股票启用新证券代码号段相关改造，达到上线要求。</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1.验证北交所能正确对各类申报进行检查并返回检查确认结果；能够正确对各类有效委托进行撮合处理，发送成交回报；能够正确生成北交所各类行情。</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3.验证深证通通信系统能够正确转发证券公司的委托数据、北交所的回报和行情数据。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各类</w:t>
      </w:r>
      <w:r>
        <w:rPr>
          <w:rFonts w:cs="Times New Roman"/>
          <w:color w:val="000000" w:themeColor="text1"/>
          <w:sz w:val="30"/>
          <w:szCs w:val="30"/>
          <w14:textFill>
            <w14:solidFill>
              <w14:schemeClr w14:val="tx1"/>
            </w14:solidFill>
          </w14:textFill>
        </w:rPr>
        <w:t>委托</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验证各提供北交所行情服务的信息商能够正确接收、处理和揭示北交所各类行情信息。</w:t>
      </w:r>
      <w:bookmarkStart w:id="34" w:name="_Toc157623422"/>
      <w:bookmarkStart w:id="35" w:name="_Toc1037702227"/>
      <w:bookmarkStart w:id="36" w:name="_Toc15762342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6.验证北交所、全国股转系统、中国结算、深证通、证券公司等现有各项交易业务运行正常，证券公司、信息商等行情揭示正常。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r>
        <w:rPr>
          <w:rFonts w:hint="eastAsia"/>
        </w:rPr>
        <w:t>六、测试场景及相关说明</w:t>
      </w:r>
      <w:bookmarkEnd w:id="34"/>
      <w:bookmarkEnd w:id="35"/>
    </w:p>
    <w:p>
      <w:pPr>
        <w:pStyle w:val="73"/>
        <w:spacing w:before="163" w:after="163"/>
        <w:ind w:firstLine="560"/>
        <w:rPr>
          <w:rFonts w:ascii="楷体" w:hAnsi="楷体" w:eastAsia="楷体"/>
          <w:sz w:val="28"/>
          <w:szCs w:val="28"/>
        </w:rPr>
      </w:pPr>
      <w:bookmarkStart w:id="37" w:name="_Toc221508924"/>
      <w:bookmarkStart w:id="38" w:name="_Toc157623423"/>
      <w:r>
        <w:rPr>
          <w:rFonts w:hint="eastAsia" w:ascii="楷体" w:hAnsi="楷体" w:eastAsia="楷体"/>
          <w:sz w:val="28"/>
          <w:szCs w:val="28"/>
        </w:rPr>
        <w:t>（</w:t>
      </w:r>
      <w:r>
        <w:rPr>
          <w:rFonts w:ascii="楷体" w:hAnsi="楷体" w:eastAsia="楷体"/>
          <w:sz w:val="28"/>
          <w:szCs w:val="28"/>
        </w:rPr>
        <w:t>一）公开发行测试</w:t>
      </w:r>
      <w:r>
        <w:rPr>
          <w:rFonts w:hint="eastAsia" w:ascii="楷体" w:hAnsi="楷体" w:eastAsia="楷体"/>
          <w:sz w:val="28"/>
          <w:szCs w:val="28"/>
        </w:rPr>
        <w:t>证券及测试时间</w:t>
      </w:r>
      <w:r>
        <w:rPr>
          <w:rFonts w:ascii="楷体" w:hAnsi="楷体" w:eastAsia="楷体"/>
          <w:sz w:val="28"/>
          <w:szCs w:val="28"/>
        </w:rPr>
        <w:t>安排</w:t>
      </w:r>
      <w:bookmarkEnd w:id="37"/>
      <w:bookmarkEnd w:id="38"/>
    </w:p>
    <w:tbl>
      <w:tblPr>
        <w:tblStyle w:val="3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851"/>
        <w:gridCol w:w="2126"/>
        <w:gridCol w:w="1554"/>
        <w:gridCol w:w="129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2F2F2"/>
            <w:vAlign w:val="center"/>
          </w:tcPr>
          <w:p>
            <w:pPr>
              <w:ind w:firstLine="0" w:firstLineChars="0"/>
              <w:jc w:val="center"/>
              <w:rPr>
                <w:b/>
                <w:bCs/>
              </w:rPr>
            </w:pPr>
            <w:r>
              <w:rPr>
                <w:rFonts w:hint="eastAsia"/>
                <w:b/>
                <w:bCs/>
              </w:rPr>
              <w:t>证券代码</w:t>
            </w:r>
          </w:p>
        </w:tc>
        <w:tc>
          <w:tcPr>
            <w:tcW w:w="1134" w:type="dxa"/>
            <w:shd w:val="clear" w:color="auto" w:fill="F2F2F2"/>
            <w:vAlign w:val="center"/>
          </w:tcPr>
          <w:p>
            <w:pPr>
              <w:ind w:firstLine="0" w:firstLineChars="0"/>
              <w:jc w:val="center"/>
              <w:rPr>
                <w:b/>
                <w:bCs/>
              </w:rPr>
            </w:pPr>
            <w:r>
              <w:rPr>
                <w:rFonts w:hint="eastAsia"/>
                <w:b/>
                <w:bCs/>
              </w:rPr>
              <w:t>原新三板券</w:t>
            </w:r>
          </w:p>
        </w:tc>
        <w:tc>
          <w:tcPr>
            <w:tcW w:w="851" w:type="dxa"/>
            <w:shd w:val="clear" w:color="auto" w:fill="F2F2F2"/>
            <w:vAlign w:val="center"/>
          </w:tcPr>
          <w:p>
            <w:pPr>
              <w:ind w:firstLine="0" w:firstLineChars="0"/>
              <w:jc w:val="center"/>
              <w:rPr>
                <w:b/>
                <w:bCs/>
              </w:rPr>
            </w:pPr>
            <w:r>
              <w:rPr>
                <w:rFonts w:hint="eastAsia"/>
                <w:b/>
                <w:bCs/>
              </w:rPr>
              <w:t>方式</w:t>
            </w:r>
          </w:p>
        </w:tc>
        <w:tc>
          <w:tcPr>
            <w:tcW w:w="2126" w:type="dxa"/>
            <w:shd w:val="clear" w:color="auto" w:fill="F2F2F2"/>
            <w:vAlign w:val="center"/>
          </w:tcPr>
          <w:p>
            <w:pPr>
              <w:ind w:firstLine="0" w:firstLineChars="0"/>
              <w:jc w:val="center"/>
              <w:rPr>
                <w:b/>
                <w:bCs/>
              </w:rPr>
            </w:pPr>
            <w:r>
              <w:rPr>
                <w:rFonts w:hint="eastAsia"/>
                <w:b/>
                <w:bCs/>
              </w:rPr>
              <w:t>发行量</w:t>
            </w:r>
          </w:p>
        </w:tc>
        <w:tc>
          <w:tcPr>
            <w:tcW w:w="1554" w:type="dxa"/>
            <w:shd w:val="clear" w:color="auto" w:fill="F2F2F2"/>
            <w:vAlign w:val="center"/>
          </w:tcPr>
          <w:p>
            <w:pPr>
              <w:ind w:firstLine="0" w:firstLineChars="0"/>
              <w:jc w:val="center"/>
              <w:rPr>
                <w:b/>
                <w:bCs/>
              </w:rPr>
            </w:pPr>
            <w:r>
              <w:rPr>
                <w:rFonts w:hint="eastAsia"/>
                <w:b/>
                <w:bCs/>
              </w:rPr>
              <w:t>价格</w:t>
            </w:r>
          </w:p>
        </w:tc>
        <w:tc>
          <w:tcPr>
            <w:tcW w:w="1295" w:type="dxa"/>
            <w:shd w:val="clear" w:color="auto" w:fill="F2F2F2"/>
            <w:vAlign w:val="center"/>
          </w:tcPr>
          <w:p>
            <w:pPr>
              <w:ind w:firstLine="0" w:firstLineChars="0"/>
              <w:jc w:val="center"/>
              <w:rPr>
                <w:b/>
                <w:bCs/>
              </w:rPr>
            </w:pPr>
            <w:r>
              <w:rPr>
                <w:rFonts w:hint="eastAsia"/>
                <w:b/>
                <w:bCs/>
              </w:rPr>
              <w:t>申购上下限</w:t>
            </w:r>
          </w:p>
        </w:tc>
        <w:tc>
          <w:tcPr>
            <w:tcW w:w="1568" w:type="dxa"/>
            <w:shd w:val="clear" w:color="auto" w:fill="F2F2F2"/>
            <w:vAlign w:val="center"/>
          </w:tcPr>
          <w:p>
            <w:pPr>
              <w:ind w:firstLine="0" w:firstLineChars="0"/>
              <w:jc w:val="center"/>
              <w:rPr>
                <w:b/>
                <w:bCs/>
              </w:rPr>
            </w:pPr>
            <w:r>
              <w:rPr>
                <w:rFonts w:hint="eastAsia"/>
                <w:b/>
                <w:bCs/>
              </w:rPr>
              <w:t>发行日期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9200</w:t>
            </w:r>
            <w:r>
              <w:t>01</w:t>
            </w:r>
          </w:p>
        </w:tc>
        <w:tc>
          <w:tcPr>
            <w:tcW w:w="1134" w:type="dxa"/>
            <w:shd w:val="clear" w:color="auto" w:fill="auto"/>
            <w:vAlign w:val="center"/>
          </w:tcPr>
          <w:p>
            <w:pPr>
              <w:ind w:firstLine="0" w:firstLineChars="0"/>
              <w:jc w:val="center"/>
            </w:pPr>
            <w:r>
              <w:t>430014</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pPr>
            <w:r>
              <w:rPr>
                <w:rFonts w:hint="eastAsia"/>
              </w:rPr>
              <w:t>T+</w:t>
            </w:r>
            <w:r>
              <w:t>1</w:t>
            </w:r>
            <w:r>
              <w:rPr>
                <w:rFonts w:hint="eastAsia"/>
              </w:rPr>
              <w:t>日配售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w:t>
            </w:r>
            <w:r>
              <w:t>20011</w:t>
            </w:r>
          </w:p>
        </w:tc>
        <w:tc>
          <w:tcPr>
            <w:tcW w:w="1134" w:type="dxa"/>
            <w:shd w:val="clear" w:color="auto" w:fill="auto"/>
            <w:vAlign w:val="center"/>
          </w:tcPr>
          <w:p>
            <w:pPr>
              <w:ind w:firstLine="0" w:firstLineChars="0"/>
              <w:jc w:val="center"/>
            </w:pPr>
            <w:r>
              <w:rPr>
                <w:rFonts w:hint="eastAsia"/>
              </w:rPr>
              <w:t>8</w:t>
            </w:r>
            <w:r>
              <w:t>39260</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pPr>
            <w:r>
              <w:rPr>
                <w:rFonts w:hint="eastAsia"/>
              </w:rPr>
              <w:t>T+</w:t>
            </w:r>
            <w:r>
              <w:t>1</w:t>
            </w:r>
            <w:r>
              <w:rPr>
                <w:rFonts w:hint="eastAsia"/>
              </w:rPr>
              <w:t>日配售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9200</w:t>
            </w:r>
            <w:r>
              <w:t>02</w:t>
            </w:r>
          </w:p>
        </w:tc>
        <w:tc>
          <w:tcPr>
            <w:tcW w:w="1134" w:type="dxa"/>
            <w:shd w:val="clear" w:color="auto" w:fill="auto"/>
            <w:vAlign w:val="center"/>
          </w:tcPr>
          <w:p>
            <w:pPr>
              <w:ind w:firstLine="0" w:firstLineChars="0"/>
              <w:jc w:val="center"/>
            </w:pPr>
            <w:r>
              <w:t>430034</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2</w:t>
            </w:r>
            <w:r>
              <w:rPr>
                <w:rFonts w:hint="eastAsia"/>
              </w:rPr>
              <w:t>-5元</w:t>
            </w:r>
          </w:p>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pPr>
            <w:r>
              <w:rPr>
                <w:rFonts w:hint="eastAsia"/>
              </w:rPr>
              <w:t>T日询价</w:t>
            </w:r>
          </w:p>
          <w:p>
            <w:pPr>
              <w:ind w:firstLine="0" w:firstLineChars="0"/>
            </w:pPr>
            <w:r>
              <w:rPr>
                <w:rFonts w:hint="eastAsia"/>
              </w:rPr>
              <w:t>T+1日申购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w:t>
            </w:r>
            <w:r>
              <w:t>20012</w:t>
            </w:r>
          </w:p>
        </w:tc>
        <w:tc>
          <w:tcPr>
            <w:tcW w:w="1134" w:type="dxa"/>
            <w:shd w:val="clear" w:color="auto" w:fill="auto"/>
            <w:vAlign w:val="center"/>
          </w:tcPr>
          <w:p>
            <w:pPr>
              <w:ind w:firstLine="0" w:firstLineChars="0"/>
              <w:jc w:val="center"/>
            </w:pPr>
            <w:r>
              <w:rPr>
                <w:rFonts w:hint="eastAsia"/>
              </w:rPr>
              <w:t>8</w:t>
            </w:r>
            <w:r>
              <w:t>38518</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5</w:t>
            </w:r>
            <w:r>
              <w:rPr>
                <w:rFonts w:hint="eastAsia"/>
              </w:rPr>
              <w:t>-</w:t>
            </w:r>
            <w:r>
              <w:t>10</w:t>
            </w:r>
            <w:r>
              <w:rPr>
                <w:rFonts w:hint="eastAsia"/>
              </w:rPr>
              <w:t>元</w:t>
            </w:r>
          </w:p>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pPr>
            <w:r>
              <w:rPr>
                <w:rFonts w:hint="eastAsia"/>
              </w:rPr>
              <w:t>T日询价</w:t>
            </w:r>
          </w:p>
          <w:p>
            <w:pPr>
              <w:ind w:firstLine="0" w:firstLineChars="0"/>
            </w:pPr>
            <w:r>
              <w:rPr>
                <w:rFonts w:hint="eastAsia"/>
              </w:rPr>
              <w:t>T+1日申购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vAlign w:val="center"/>
          </w:tcPr>
          <w:p>
            <w:pPr>
              <w:ind w:firstLine="0" w:firstLineChars="0"/>
              <w:jc w:val="center"/>
            </w:pPr>
            <w:r>
              <w:rPr>
                <w:rFonts w:hint="eastAsia"/>
              </w:rPr>
              <w:t>9200</w:t>
            </w:r>
            <w:r>
              <w:t>03</w:t>
            </w:r>
          </w:p>
        </w:tc>
        <w:tc>
          <w:tcPr>
            <w:tcW w:w="1134" w:type="dxa"/>
            <w:shd w:val="clear" w:color="auto" w:fill="auto"/>
            <w:vAlign w:val="center"/>
          </w:tcPr>
          <w:p>
            <w:pPr>
              <w:ind w:firstLine="0" w:firstLineChars="0"/>
              <w:jc w:val="center"/>
            </w:pPr>
            <w:r>
              <w:t>430057</w:t>
            </w:r>
          </w:p>
        </w:tc>
        <w:tc>
          <w:tcPr>
            <w:tcW w:w="851" w:type="dxa"/>
            <w:shd w:val="clear" w:color="auto" w:fill="auto"/>
            <w:vAlign w:val="center"/>
          </w:tcPr>
          <w:p>
            <w:pPr>
              <w:ind w:firstLine="0" w:firstLineChars="0"/>
              <w:jc w:val="center"/>
            </w:pPr>
            <w:r>
              <w:rPr>
                <w:rFonts w:hint="eastAsia"/>
              </w:rPr>
              <w:t>竞价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554" w:type="dxa"/>
            <w:shd w:val="clear" w:color="auto" w:fill="auto"/>
            <w:vAlign w:val="center"/>
          </w:tcPr>
          <w:p>
            <w:pPr>
              <w:ind w:firstLine="0" w:firstLineChars="0"/>
            </w:pPr>
            <w:r>
              <w:rPr>
                <w:rFonts w:hint="eastAsia"/>
              </w:rPr>
              <w:t>申购价</w:t>
            </w:r>
            <w:r>
              <w:t>1</w:t>
            </w:r>
            <w:r>
              <w:rPr>
                <w:rFonts w:hint="eastAsia"/>
              </w:rPr>
              <w:t>-5元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rPr>
                <w:lang w:val="en" w:eastAsia="zh-Hans"/>
              </w:rPr>
            </w:pPr>
            <w:r>
              <w:rPr>
                <w:rFonts w:hint="eastAsia"/>
              </w:rPr>
              <w:t>T+</w:t>
            </w:r>
            <w:r>
              <w:t>1</w:t>
            </w:r>
            <w:r>
              <w:rPr>
                <w:rFonts w:hint="eastAsia"/>
              </w:rPr>
              <w:t>日配售</w:t>
            </w:r>
          </w:p>
        </w:tc>
      </w:tr>
    </w:tbl>
    <w:p>
      <w:pPr>
        <w:pStyle w:val="73"/>
        <w:spacing w:before="163" w:after="163"/>
        <w:ind w:firstLine="560"/>
        <w:rPr>
          <w:rFonts w:ascii="楷体" w:hAnsi="楷体" w:eastAsia="楷体"/>
          <w:sz w:val="28"/>
          <w:szCs w:val="28"/>
        </w:rPr>
      </w:pPr>
      <w:r>
        <w:rPr>
          <w:rFonts w:hint="eastAsia" w:ascii="楷体" w:hAnsi="楷体" w:eastAsia="楷体"/>
          <w:sz w:val="28"/>
          <w:szCs w:val="28"/>
        </w:rPr>
        <w:t>（二</w:t>
      </w:r>
      <w:r>
        <w:rPr>
          <w:rFonts w:ascii="楷体" w:hAnsi="楷体" w:eastAsia="楷体"/>
          <w:sz w:val="28"/>
          <w:szCs w:val="28"/>
        </w:rPr>
        <w:t>）</w:t>
      </w:r>
      <w:r>
        <w:rPr>
          <w:rFonts w:hint="eastAsia" w:ascii="楷体" w:hAnsi="楷体" w:eastAsia="楷体"/>
          <w:sz w:val="28"/>
          <w:szCs w:val="28"/>
        </w:rPr>
        <w:t>日常交易测试证券及测试时间安排</w:t>
      </w:r>
      <w:bookmarkEnd w:id="36"/>
    </w:p>
    <w:tbl>
      <w:tblPr>
        <w:tblStyle w:val="3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E7E6E6" w:themeFill="background2"/>
          </w:tcPr>
          <w:p>
            <w:pPr>
              <w:ind w:firstLine="0" w:firstLineChars="0"/>
              <w:jc w:val="center"/>
              <w:rPr>
                <w:b/>
                <w:bCs/>
              </w:rPr>
            </w:pPr>
            <w:r>
              <w:rPr>
                <w:b/>
                <w:bCs/>
              </w:rPr>
              <w:t>证券代码</w:t>
            </w:r>
          </w:p>
        </w:tc>
        <w:tc>
          <w:tcPr>
            <w:tcW w:w="1701" w:type="dxa"/>
            <w:shd w:val="clear" w:color="auto" w:fill="E7E6E6" w:themeFill="background2"/>
          </w:tcPr>
          <w:p>
            <w:pPr>
              <w:ind w:firstLine="0" w:firstLineChars="0"/>
              <w:jc w:val="center"/>
              <w:rPr>
                <w:b/>
                <w:bCs/>
              </w:rPr>
            </w:pPr>
            <w:r>
              <w:rPr>
                <w:rFonts w:hint="eastAsia"/>
                <w:b/>
                <w:bCs/>
              </w:rPr>
              <w:t>基础券</w:t>
            </w:r>
          </w:p>
        </w:tc>
        <w:tc>
          <w:tcPr>
            <w:tcW w:w="6525" w:type="dxa"/>
            <w:shd w:val="clear" w:color="auto" w:fill="E7E6E6" w:themeFill="background2"/>
          </w:tcPr>
          <w:p>
            <w:pPr>
              <w:ind w:firstLine="0" w:firstLineChars="0"/>
              <w:jc w:val="center"/>
              <w:rPr>
                <w:b/>
                <w:bCs/>
              </w:rPr>
            </w:pPr>
            <w:r>
              <w:rPr>
                <w:rFonts w:hint="eastAsia"/>
                <w:b/>
                <w:bCs/>
              </w:rPr>
              <w:t>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20004</w:t>
            </w:r>
          </w:p>
        </w:tc>
        <w:tc>
          <w:tcPr>
            <w:tcW w:w="1701"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30335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T+1日日间暂停可融资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20005</w:t>
            </w:r>
          </w:p>
        </w:tc>
        <w:tc>
          <w:tcPr>
            <w:tcW w:w="1701"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30075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T+1日日间暂停可融券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20006</w:t>
            </w:r>
          </w:p>
        </w:tc>
        <w:tc>
          <w:tcPr>
            <w:tcW w:w="1701"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30852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T+1日日间紧急停牌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20007</w:t>
            </w:r>
          </w:p>
        </w:tc>
        <w:tc>
          <w:tcPr>
            <w:tcW w:w="1701"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38692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T+1日除权除息权益登记</w:t>
            </w:r>
            <w:r>
              <w:rPr>
                <w:rFonts w:hint="eastAsia" w:cs="Times New Roman"/>
                <w:szCs w:val="24"/>
              </w:rPr>
              <w:t>（每1</w:t>
            </w:r>
            <w:r>
              <w:rPr>
                <w:rFonts w:cs="Times New Roman"/>
                <w:szCs w:val="24"/>
              </w:rPr>
              <w:t>0股送</w:t>
            </w:r>
            <w:r>
              <w:rPr>
                <w:rFonts w:hint="eastAsia" w:cs="Times New Roman"/>
                <w:szCs w:val="24"/>
              </w:rPr>
              <w:t>1</w:t>
            </w:r>
            <w:r>
              <w:rPr>
                <w:rFonts w:cs="Times New Roman"/>
                <w:szCs w:val="24"/>
              </w:rPr>
              <w:t>.23股</w:t>
            </w:r>
            <w:r>
              <w:rPr>
                <w:rFonts w:hint="eastAsia" w:cs="Times New Roman"/>
                <w:szCs w:val="24"/>
              </w:rPr>
              <w:t>，派息1</w:t>
            </w:r>
            <w:r>
              <w:rPr>
                <w:rFonts w:cs="Times New Roman"/>
                <w:szCs w:val="24"/>
              </w:rPr>
              <w:t>0元</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20008</w:t>
            </w:r>
          </w:p>
        </w:tc>
        <w:tc>
          <w:tcPr>
            <w:tcW w:w="1701"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38747</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T+1日除权除息权益登记</w:t>
            </w:r>
            <w:r>
              <w:rPr>
                <w:rFonts w:hint="eastAsia" w:cs="Times New Roman"/>
                <w:szCs w:val="24"/>
              </w:rPr>
              <w:t>（每1</w:t>
            </w:r>
            <w:r>
              <w:rPr>
                <w:rFonts w:cs="Times New Roman"/>
                <w:szCs w:val="24"/>
              </w:rPr>
              <w:t>0股送</w:t>
            </w:r>
            <w:r>
              <w:rPr>
                <w:rFonts w:hint="eastAsia" w:cs="Times New Roman"/>
                <w:szCs w:val="24"/>
              </w:rPr>
              <w:t>1</w:t>
            </w:r>
            <w:r>
              <w:rPr>
                <w:rFonts w:cs="Times New Roman"/>
                <w:szCs w:val="24"/>
              </w:rPr>
              <w:t>股</w:t>
            </w:r>
            <w:r>
              <w:rPr>
                <w:rFonts w:hint="eastAsia" w:cs="Times New Roman"/>
                <w:szCs w:val="24"/>
              </w:rPr>
              <w:t>，派息1</w:t>
            </w:r>
            <w:r>
              <w:rPr>
                <w:rFonts w:cs="Times New Roman"/>
                <w:szCs w:val="24"/>
              </w:rPr>
              <w:t>元</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20009</w:t>
            </w:r>
          </w:p>
        </w:tc>
        <w:tc>
          <w:tcPr>
            <w:tcW w:w="1701"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74999</w:t>
            </w:r>
          </w:p>
        </w:tc>
        <w:tc>
          <w:tcPr>
            <w:tcW w:w="6525" w:type="dxa"/>
          </w:tcPr>
          <w:p>
            <w:pPr>
              <w:pStyle w:val="101"/>
              <w:ind w:firstLine="0" w:firstLineChars="0"/>
              <w:rPr>
                <w:rFonts w:cs="Times New Roman"/>
                <w:szCs w:val="24"/>
              </w:rPr>
            </w:pPr>
            <w:r>
              <w:rPr>
                <w:rFonts w:hint="eastAsia" w:cs="Times New Roman"/>
                <w:szCs w:val="24"/>
              </w:rPr>
              <w:t>T</w:t>
            </w:r>
            <w:r>
              <w:rPr>
                <w:rFonts w:cs="Times New Roman"/>
                <w:szCs w:val="24"/>
              </w:rPr>
              <w:t>日上市首日</w:t>
            </w:r>
          </w:p>
          <w:p>
            <w:pPr>
              <w:pStyle w:val="101"/>
              <w:ind w:firstLine="0" w:firstLineChars="0"/>
              <w:rPr>
                <w:rFonts w:cs="Times New Roman"/>
                <w:szCs w:val="24"/>
              </w:rPr>
            </w:pPr>
            <w:r>
              <w:rPr>
                <w:rFonts w:cs="Times New Roman"/>
                <w:szCs w:val="24"/>
              </w:rPr>
              <w:t>T+1日日间交易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5"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20000</w:t>
            </w:r>
          </w:p>
        </w:tc>
        <w:tc>
          <w:tcPr>
            <w:tcW w:w="1701"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74998</w:t>
            </w:r>
          </w:p>
        </w:tc>
        <w:tc>
          <w:tcPr>
            <w:tcW w:w="6525" w:type="dxa"/>
          </w:tcPr>
          <w:p>
            <w:pPr>
              <w:pStyle w:val="101"/>
              <w:ind w:firstLine="0" w:firstLineChars="0"/>
              <w:rPr>
                <w:rFonts w:cs="Times New Roman"/>
                <w:szCs w:val="24"/>
              </w:rPr>
            </w:pPr>
            <w:r>
              <w:rPr>
                <w:rFonts w:hint="eastAsia" w:cs="Times New Roman"/>
                <w:szCs w:val="24"/>
              </w:rPr>
              <w:t>T</w:t>
            </w:r>
            <w:r>
              <w:rPr>
                <w:rFonts w:cs="Times New Roman"/>
                <w:szCs w:val="24"/>
              </w:rPr>
              <w:t>日上市首日</w:t>
            </w:r>
          </w:p>
          <w:p>
            <w:pPr>
              <w:pStyle w:val="101"/>
              <w:ind w:firstLine="0" w:firstLineChars="0"/>
              <w:rPr>
                <w:rFonts w:cs="Times New Roman"/>
                <w:szCs w:val="24"/>
              </w:rPr>
            </w:pPr>
            <w:r>
              <w:rPr>
                <w:rFonts w:cs="Times New Roman"/>
                <w:szCs w:val="24"/>
              </w:rPr>
              <w:t>T+1日日间交易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要约8</w:t>
            </w:r>
            <w:r>
              <w:rPr>
                <w:rFonts w:cs="Times New Roman"/>
                <w:szCs w:val="24"/>
              </w:rPr>
              <w:t>41920</w:t>
            </w:r>
          </w:p>
        </w:tc>
        <w:tc>
          <w:tcPr>
            <w:tcW w:w="1701"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20004</w:t>
            </w:r>
          </w:p>
        </w:tc>
        <w:tc>
          <w:tcPr>
            <w:tcW w:w="6525" w:type="dxa"/>
          </w:tcPr>
          <w:p>
            <w:pPr>
              <w:pStyle w:val="101"/>
              <w:ind w:firstLine="0" w:firstLineChars="0"/>
              <w:rPr>
                <w:rFonts w:cs="Times New Roman"/>
                <w:szCs w:val="24"/>
              </w:rPr>
            </w:pPr>
            <w:r>
              <w:rPr>
                <w:rFonts w:hint="eastAsia" w:cs="Times New Roman"/>
                <w:szCs w:val="24"/>
              </w:rPr>
              <w:t>T+</w:t>
            </w:r>
            <w:r>
              <w:rPr>
                <w:rFonts w:cs="Times New Roman"/>
                <w:szCs w:val="24"/>
              </w:rPr>
              <w:t>1日预受要约</w:t>
            </w:r>
            <w:r>
              <w:rPr>
                <w:rFonts w:hint="eastAsia" w:cs="Times New Roman"/>
                <w:szCs w:val="24"/>
              </w:rPr>
              <w:t>，回购价格:6元/股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可转债</w:t>
            </w:r>
          </w:p>
          <w:p>
            <w:pPr>
              <w:pStyle w:val="101"/>
              <w:ind w:firstLine="0" w:firstLineChars="0"/>
              <w:rPr>
                <w:rFonts w:cs="Times New Roman"/>
                <w:szCs w:val="24"/>
              </w:rPr>
            </w:pPr>
            <w:r>
              <w:rPr>
                <w:rFonts w:hint="eastAsia" w:cs="Times New Roman"/>
                <w:szCs w:val="24"/>
              </w:rPr>
              <w:t>8</w:t>
            </w:r>
            <w:r>
              <w:rPr>
                <w:rFonts w:cs="Times New Roman"/>
                <w:szCs w:val="24"/>
              </w:rPr>
              <w:t>10920</w:t>
            </w:r>
          </w:p>
        </w:tc>
        <w:tc>
          <w:tcPr>
            <w:tcW w:w="1701"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38692</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20007</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r>
              <w:rPr>
                <w:rFonts w:hint="eastAsia" w:cs="Times New Roman"/>
                <w:szCs w:val="24"/>
              </w:rPr>
              <w:t>，</w:t>
            </w:r>
            <w:r>
              <w:rPr>
                <w:rFonts w:cs="Times New Roman"/>
                <w:szCs w:val="24"/>
              </w:rPr>
              <w:t>可转股</w:t>
            </w:r>
            <w:r>
              <w:rPr>
                <w:rFonts w:hint="eastAsia" w:cs="Times New Roman"/>
                <w:szCs w:val="24"/>
              </w:rPr>
              <w:t>（转股价格1</w:t>
            </w:r>
            <w:r>
              <w:rPr>
                <w:rFonts w:cs="Times New Roman"/>
                <w:szCs w:val="24"/>
              </w:rPr>
              <w:t>0元</w:t>
            </w:r>
            <w:r>
              <w:rPr>
                <w:rFonts w:hint="eastAsia" w:cs="Times New Roman"/>
                <w:szCs w:val="24"/>
              </w:rPr>
              <w:t>/</w:t>
            </w:r>
            <w:r>
              <w:rPr>
                <w:rFonts w:cs="Times New Roman"/>
                <w:szCs w:val="24"/>
              </w:rPr>
              <w:t>股</w:t>
            </w:r>
            <w:r>
              <w:rPr>
                <w:rFonts w:hint="eastAsia" w:cs="Times New Roman"/>
                <w:szCs w:val="24"/>
              </w:rPr>
              <w:t>），可回售（回售价格1</w:t>
            </w:r>
            <w:r>
              <w:rPr>
                <w:rFonts w:cs="Times New Roman"/>
                <w:szCs w:val="24"/>
              </w:rPr>
              <w:t>05元</w:t>
            </w:r>
            <w:r>
              <w:rPr>
                <w:rFonts w:hint="eastAsia" w:cs="Times New Roman"/>
                <w:szCs w:val="24"/>
              </w:rPr>
              <w:t>/</w:t>
            </w:r>
            <w:r>
              <w:rPr>
                <w:rFonts w:cs="Times New Roman"/>
                <w:szCs w:val="24"/>
              </w:rPr>
              <w:t>张</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pStyle w:val="101"/>
              <w:ind w:firstLine="0" w:firstLineChars="0"/>
              <w:rPr>
                <w:rFonts w:cs="Times New Roman"/>
                <w:szCs w:val="24"/>
              </w:rPr>
            </w:pPr>
            <w:r>
              <w:rPr>
                <w:rFonts w:hint="eastAsia" w:cs="Times New Roman"/>
                <w:szCs w:val="24"/>
              </w:rPr>
              <w:t>优先股</w:t>
            </w:r>
          </w:p>
          <w:p>
            <w:pPr>
              <w:pStyle w:val="101"/>
              <w:ind w:firstLine="0" w:firstLineChars="0"/>
              <w:rPr>
                <w:rFonts w:cs="Times New Roman"/>
                <w:szCs w:val="24"/>
              </w:rPr>
            </w:pPr>
            <w:r>
              <w:rPr>
                <w:rFonts w:hint="eastAsia" w:cs="Times New Roman"/>
                <w:szCs w:val="24"/>
              </w:rPr>
              <w:t>8</w:t>
            </w:r>
            <w:r>
              <w:rPr>
                <w:rFonts w:cs="Times New Roman"/>
                <w:szCs w:val="24"/>
              </w:rPr>
              <w:t>20920</w:t>
            </w:r>
          </w:p>
        </w:tc>
        <w:tc>
          <w:tcPr>
            <w:tcW w:w="1701"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38747</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20008</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p>
        </w:tc>
      </w:tr>
    </w:tbl>
    <w:p>
      <w:pPr>
        <w:ind w:firstLine="0" w:firstLineChars="0"/>
      </w:pPr>
      <w:bookmarkStart w:id="39" w:name="_Toc836006634"/>
    </w:p>
    <w:p>
      <w:pPr>
        <w:pStyle w:val="73"/>
        <w:spacing w:before="163" w:after="163"/>
        <w:ind w:firstLine="560"/>
        <w:rPr>
          <w:rFonts w:ascii="楷体" w:hAnsi="楷体" w:eastAsia="楷体"/>
          <w:sz w:val="28"/>
          <w:szCs w:val="28"/>
        </w:rPr>
      </w:pPr>
      <w:bookmarkStart w:id="40" w:name="_Toc157623425"/>
      <w:r>
        <w:rPr>
          <w:rFonts w:hint="eastAsia" w:ascii="楷体" w:hAnsi="楷体" w:eastAsia="楷体"/>
          <w:sz w:val="28"/>
          <w:szCs w:val="28"/>
        </w:rPr>
        <w:t>（三</w:t>
      </w:r>
      <w:r>
        <w:rPr>
          <w:rFonts w:ascii="楷体" w:hAnsi="楷体" w:eastAsia="楷体"/>
          <w:sz w:val="28"/>
          <w:szCs w:val="28"/>
        </w:rPr>
        <w:t>）</w:t>
      </w:r>
      <w:r>
        <w:rPr>
          <w:rFonts w:hint="eastAsia" w:ascii="楷体" w:hAnsi="楷体" w:eastAsia="楷体"/>
          <w:sz w:val="28"/>
          <w:szCs w:val="28"/>
        </w:rPr>
        <w:t>测试要求和说明</w:t>
      </w:r>
      <w:bookmarkEnd w:id="39"/>
      <w:bookmarkEnd w:id="4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启用新证券代码号段，在公开发行期间和上市阶段均使用同一证券代码。各市场机构应验证上市前一日日终能够正确完成新三板数据切换为北交所数据的处理，包括但不限于持仓数据、曾持有数据、冻结数据等。</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北交所股票上市首日起产生新的交易行情、信息披露等内容，新代码和原新三板代码不做关联，各市场机构进行行情揭示时应做好新老划断处理。</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其它</w:t>
      </w:r>
      <w:r>
        <w:rPr>
          <w:rFonts w:cs="Times New Roman"/>
          <w:color w:val="000000" w:themeColor="text1"/>
          <w:sz w:val="30"/>
          <w:szCs w:val="30"/>
          <w14:textFill>
            <w14:solidFill>
              <w14:schemeClr w14:val="tx1"/>
            </w14:solidFill>
          </w14:textFill>
        </w:rPr>
        <w:t>测试要求和说明如下：</w:t>
      </w:r>
    </w:p>
    <w:tbl>
      <w:tblPr>
        <w:tblStyle w:val="3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265"/>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测试证券</w:t>
            </w:r>
          </w:p>
        </w:tc>
        <w:tc>
          <w:tcPr>
            <w:tcW w:w="1265"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测试场景</w:t>
            </w:r>
          </w:p>
        </w:tc>
        <w:tc>
          <w:tcPr>
            <w:tcW w:w="6289"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17" w:type="dxa"/>
            <w:vMerge w:val="restart"/>
            <w:shd w:val="clear" w:color="auto" w:fill="auto"/>
            <w:vAlign w:val="center"/>
          </w:tcPr>
          <w:p>
            <w:pPr>
              <w:ind w:firstLine="0" w:firstLineChars="0"/>
              <w:rPr>
                <w:rFonts w:cs="Times New Roman"/>
                <w:szCs w:val="24"/>
              </w:rPr>
            </w:pPr>
            <w:r>
              <w:rPr>
                <w:rFonts w:hint="eastAsia" w:cs="Times New Roman"/>
                <w:szCs w:val="24"/>
              </w:rPr>
              <w:t>测试券发行途中</w:t>
            </w:r>
          </w:p>
          <w:p>
            <w:pPr>
              <w:ind w:firstLine="0" w:firstLineChars="0"/>
              <w:jc w:val="both"/>
              <w:rPr>
                <w:rFonts w:cs="Times New Roman"/>
                <w:color w:val="000000" w:themeColor="text1"/>
                <w:szCs w:val="24"/>
                <w14:textFill>
                  <w14:solidFill>
                    <w14:schemeClr w14:val="tx1"/>
                  </w14:solidFill>
                </w14:textFill>
              </w:rPr>
            </w:pPr>
          </w:p>
        </w:tc>
        <w:tc>
          <w:tcPr>
            <w:tcW w:w="1265" w:type="dxa"/>
            <w:shd w:val="clear" w:color="auto" w:fill="auto"/>
            <w:vAlign w:val="center"/>
          </w:tcPr>
          <w:p>
            <w:pPr>
              <w:ind w:firstLine="0" w:firstLineChars="0"/>
              <w:rPr>
                <w:rFonts w:cs="Times New Roman"/>
                <w:szCs w:val="24"/>
              </w:rPr>
            </w:pPr>
            <w:r>
              <w:rPr>
                <w:rFonts w:hint="eastAsia" w:cs="Times New Roman"/>
                <w:szCs w:val="24"/>
              </w:rPr>
              <w:t>询价、申购申报</w:t>
            </w:r>
          </w:p>
        </w:tc>
        <w:tc>
          <w:tcPr>
            <w:tcW w:w="6289"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能够正常进行询价申报、申购申报，正常冻结资金，支持报单查询，申报上下限参照北交所下发的信息库。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vMerge w:val="continue"/>
            <w:shd w:val="clear" w:color="auto" w:fill="auto"/>
            <w:vAlign w:val="center"/>
          </w:tcPr>
          <w:p>
            <w:pPr>
              <w:ind w:firstLine="0" w:firstLineChars="0"/>
              <w:rPr>
                <w:rFonts w:cs="Times New Roman"/>
                <w:szCs w:val="24"/>
              </w:rPr>
            </w:pPr>
          </w:p>
        </w:tc>
        <w:tc>
          <w:tcPr>
            <w:tcW w:w="1265" w:type="dxa"/>
            <w:shd w:val="clear" w:color="auto" w:fill="auto"/>
            <w:vAlign w:val="center"/>
          </w:tcPr>
          <w:p>
            <w:pPr>
              <w:ind w:firstLine="0" w:firstLineChars="0"/>
              <w:rPr>
                <w:rFonts w:cs="Times New Roman"/>
                <w:szCs w:val="24"/>
              </w:rPr>
            </w:pPr>
            <w:r>
              <w:rPr>
                <w:rFonts w:hint="eastAsia" w:cs="Times New Roman"/>
                <w:szCs w:val="24"/>
              </w:rPr>
              <w:t>配售</w:t>
            </w:r>
          </w:p>
        </w:tc>
        <w:tc>
          <w:tcPr>
            <w:tcW w:w="6289" w:type="dxa"/>
            <w:shd w:val="clear" w:color="auto" w:fill="auto"/>
            <w:vAlign w:val="center"/>
          </w:tcPr>
          <w:p>
            <w:pPr>
              <w:ind w:firstLine="0" w:firstLineChars="0"/>
              <w:rPr>
                <w:rFonts w:cs="Times New Roman"/>
                <w:szCs w:val="24"/>
              </w:rPr>
            </w:pPr>
            <w:r>
              <w:rPr>
                <w:rFonts w:hint="eastAsia" w:cs="Times New Roman"/>
                <w:szCs w:val="24"/>
              </w:rPr>
              <w:t>可根据结算返回的拉单数据、配售数据完成资金的解冻、扣款等动作。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1265"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能够正确接收并处理证券信息库，正常揭示三类发行信息。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数据接收</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w:t>
            </w:r>
            <w:r>
              <w:rPr>
                <w:rFonts w:hint="eastAsia" w:cs="Times New Roman"/>
                <w:szCs w:val="24"/>
              </w:rPr>
              <w:t>能正确接收和处理北交所通过FDEP下发的NQQR??????.DBF文件，根据文件内容控制网下投资者申购权限和申购数量。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restart"/>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测试券上市后</w:t>
            </w: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日间交易</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能够正常进行市价</w:t>
            </w:r>
            <w:r>
              <w:rPr>
                <w:rFonts w:ascii="仿宋" w:hAnsi="仿宋" w:cs="Times New Roman"/>
                <w:color w:val="000000" w:themeColor="text1"/>
                <w:szCs w:val="24"/>
                <w14:textFill>
                  <w14:solidFill>
                    <w14:schemeClr w14:val="tx1"/>
                  </w14:solidFill>
                </w14:textFill>
              </w:rPr>
              <w:t>、限价委托申报</w:t>
            </w:r>
            <w:r>
              <w:rPr>
                <w:rFonts w:hint="eastAsia" w:ascii="仿宋" w:hAnsi="仿宋" w:cs="Times New Roman"/>
                <w:color w:val="000000" w:themeColor="text1"/>
                <w:szCs w:val="24"/>
                <w14:textFill>
                  <w14:solidFill>
                    <w14:schemeClr w14:val="tx1"/>
                  </w14:solidFill>
                </w14:textFill>
              </w:rPr>
              <w:t>、大宗交易、融资融券等日间交易申报及各类非交易申报，</w:t>
            </w:r>
            <w:r>
              <w:rPr>
                <w:rFonts w:hint="eastAsia" w:cs="Times New Roman"/>
                <w:szCs w:val="24"/>
              </w:rPr>
              <w:t>能够正常接收北交所返回的回报和成交结果，正常冻结资金和清算交收。</w:t>
            </w:r>
            <w:r>
              <w:rPr>
                <w:rFonts w:hint="eastAsia" w:ascii="仿宋" w:hAnsi="仿宋" w:cs="Times New Roman"/>
                <w:color w:val="000000" w:themeColor="text1"/>
                <w:szCs w:val="24"/>
                <w14:textFill>
                  <w14:solidFill>
                    <w14:schemeClr w14:val="tx1"/>
                  </w14:solidFill>
                </w14:textFill>
              </w:rPr>
              <w:t>北交所做市商能正常履行报价义务。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证券公司、信息商等能正确接收和处理各类行情文件。</w:t>
            </w:r>
          </w:p>
        </w:tc>
      </w:tr>
    </w:tbl>
    <w:p>
      <w:pPr>
        <w:ind w:firstLine="0" w:firstLineChars="0"/>
      </w:pPr>
    </w:p>
    <w:p>
      <w:pPr>
        <w:pStyle w:val="73"/>
        <w:spacing w:before="163" w:after="163"/>
        <w:ind w:firstLine="600"/>
      </w:pPr>
      <w:bookmarkStart w:id="41" w:name="_Toc652945123"/>
      <w:bookmarkStart w:id="42" w:name="_Toc157623426"/>
      <w:r>
        <w:rPr>
          <w:rFonts w:hint="eastAsia"/>
        </w:rPr>
        <w:t>七、</w:t>
      </w:r>
      <w:r>
        <w:t>全网测试数据准备</w:t>
      </w:r>
      <w:bookmarkEnd w:id="41"/>
      <w:bookmarkEnd w:id="42"/>
    </w:p>
    <w:p>
      <w:pPr>
        <w:pStyle w:val="73"/>
        <w:spacing w:before="163" w:after="163"/>
        <w:ind w:firstLine="560"/>
        <w:rPr>
          <w:rFonts w:ascii="楷体" w:hAnsi="楷体" w:eastAsia="楷体"/>
          <w:sz w:val="28"/>
          <w:szCs w:val="28"/>
        </w:rPr>
      </w:pPr>
      <w:bookmarkStart w:id="43" w:name="_Toc502217616"/>
      <w:bookmarkStart w:id="44" w:name="_Toc12033606"/>
      <w:bookmarkStart w:id="45" w:name="_Toc502216522"/>
      <w:bookmarkStart w:id="46" w:name="_Toc157623427"/>
      <w:r>
        <w:rPr>
          <w:rFonts w:hint="eastAsia" w:ascii="楷体" w:hAnsi="楷体" w:eastAsia="楷体"/>
          <w:sz w:val="28"/>
          <w:szCs w:val="28"/>
        </w:rPr>
        <w:t>（一）</w:t>
      </w:r>
      <w:r>
        <w:rPr>
          <w:rFonts w:ascii="楷体" w:hAnsi="楷体" w:eastAsia="楷体"/>
          <w:sz w:val="28"/>
          <w:szCs w:val="28"/>
        </w:rPr>
        <w:t>证券行情信息和证券信息</w:t>
      </w:r>
      <w:bookmarkEnd w:id="43"/>
      <w:bookmarkEnd w:id="44"/>
      <w:bookmarkEnd w:id="45"/>
      <w:bookmarkEnd w:id="46"/>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证券初始行情信息和初始信息以全网测试前一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日北交所生产环境收盘行情（NQHQ.DBF）和证券信息（NQXX.DBF）为准。</w:t>
      </w:r>
    </w:p>
    <w:p>
      <w:pPr>
        <w:pStyle w:val="73"/>
        <w:spacing w:before="163" w:after="163"/>
        <w:ind w:firstLine="560"/>
        <w:rPr>
          <w:rFonts w:ascii="楷体" w:hAnsi="楷体" w:eastAsia="楷体"/>
          <w:sz w:val="28"/>
          <w:szCs w:val="28"/>
        </w:rPr>
      </w:pPr>
      <w:bookmarkStart w:id="47" w:name="_Toc502216523"/>
      <w:bookmarkStart w:id="48" w:name="_Toc502217617"/>
      <w:bookmarkStart w:id="49" w:name="_Toc439689166"/>
      <w:bookmarkStart w:id="50" w:name="_Toc157623428"/>
      <w:r>
        <w:rPr>
          <w:rFonts w:hint="eastAsia" w:ascii="楷体" w:hAnsi="楷体" w:eastAsia="楷体"/>
          <w:sz w:val="28"/>
          <w:szCs w:val="28"/>
        </w:rPr>
        <w:t>（二）</w:t>
      </w:r>
      <w:r>
        <w:rPr>
          <w:rFonts w:ascii="楷体" w:hAnsi="楷体" w:eastAsia="楷体"/>
          <w:sz w:val="28"/>
          <w:szCs w:val="28"/>
        </w:rPr>
        <w:t>证券账户、交易单元、托管单元及持仓</w:t>
      </w:r>
      <w:bookmarkEnd w:id="47"/>
      <w:bookmarkEnd w:id="48"/>
      <w:bookmarkEnd w:id="49"/>
      <w:bookmarkEnd w:id="50"/>
    </w:p>
    <w:p>
      <w:pPr>
        <w:spacing w:line="240" w:lineRule="auto"/>
        <w:ind w:firstLine="600"/>
        <w:jc w:val="both"/>
        <w:rPr>
          <w:rFonts w:cs="Times New Roman"/>
          <w:sz w:val="30"/>
          <w:szCs w:val="30"/>
        </w:rPr>
      </w:pPr>
      <w:r>
        <w:rPr>
          <w:rFonts w:cs="Times New Roman"/>
          <w:color w:val="000000" w:themeColor="text1"/>
          <w:sz w:val="30"/>
          <w:szCs w:val="30"/>
          <w14:textFill>
            <w14:solidFill>
              <w14:schemeClr w14:val="tx1"/>
            </w14:solidFill>
          </w14:textFill>
        </w:rPr>
        <w:t>证券账户及持仓的初始信息以全网测试前一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日中国结算</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。参测市场机构的测试账户通过QQ群另行发布，请参测机构在T-1日为每个测试账户添加测试证券</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38692</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38747</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10920</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20920</w:t>
      </w:r>
      <w:r>
        <w:rPr>
          <w:rFonts w:hint="eastAsia" w:cs="Times New Roman"/>
          <w:color w:val="000000" w:themeColor="text1"/>
          <w:sz w:val="30"/>
          <w:szCs w:val="30"/>
          <w14:textFill>
            <w14:solidFill>
              <w14:schemeClr w14:val="tx1"/>
            </w14:solidFill>
          </w14:textFill>
        </w:rPr>
        <w:t>、</w:t>
      </w:r>
      <w:r>
        <w:rPr>
          <w:rFonts w:hint="eastAsia" w:cs="Times New Roman"/>
          <w:sz w:val="30"/>
          <w:szCs w:val="30"/>
        </w:rPr>
        <w:t>9</w:t>
      </w:r>
      <w:r>
        <w:rPr>
          <w:rFonts w:cs="Times New Roman"/>
          <w:sz w:val="30"/>
          <w:szCs w:val="30"/>
        </w:rPr>
        <w:t>20009</w:t>
      </w:r>
      <w:r>
        <w:rPr>
          <w:rFonts w:hint="eastAsia" w:cs="Times New Roman"/>
          <w:sz w:val="30"/>
          <w:szCs w:val="30"/>
        </w:rPr>
        <w:t>、9</w:t>
      </w:r>
      <w:r>
        <w:rPr>
          <w:rFonts w:cs="Times New Roman"/>
          <w:sz w:val="30"/>
          <w:szCs w:val="30"/>
        </w:rPr>
        <w:t>20000</w:t>
      </w:r>
      <w:r>
        <w:rPr>
          <w:rFonts w:hint="eastAsia" w:cs="Times New Roman"/>
          <w:color w:val="000000" w:themeColor="text1"/>
          <w:sz w:val="30"/>
          <w:szCs w:val="30"/>
          <w14:textFill>
            <w14:solidFill>
              <w14:schemeClr w14:val="tx1"/>
            </w14:solidFill>
          </w14:textFill>
        </w:rPr>
        <w:t>初始化流通股份</w:t>
      </w:r>
      <w:r>
        <w:rPr>
          <w:rFonts w:hint="eastAsia" w:cs="Times New Roman"/>
          <w:sz w:val="30"/>
          <w:szCs w:val="30"/>
        </w:rPr>
        <w:t>6</w:t>
      </w:r>
      <w:r>
        <w:rPr>
          <w:rFonts w:cs="Times New Roman"/>
          <w:sz w:val="30"/>
          <w:szCs w:val="30"/>
        </w:rPr>
        <w:t>66,666股</w:t>
      </w:r>
      <w:r>
        <w:rPr>
          <w:rFonts w:hint="eastAsia" w:cs="Times New Roman"/>
          <w:sz w:val="30"/>
          <w:szCs w:val="30"/>
        </w:rPr>
        <w:t>。</w:t>
      </w:r>
    </w:p>
    <w:p>
      <w:pPr>
        <w:pStyle w:val="73"/>
        <w:spacing w:before="163" w:after="163"/>
        <w:ind w:firstLine="560"/>
        <w:rPr>
          <w:rFonts w:ascii="楷体" w:hAnsi="楷体" w:eastAsia="楷体"/>
          <w:sz w:val="28"/>
          <w:szCs w:val="28"/>
        </w:rPr>
      </w:pPr>
      <w:bookmarkStart w:id="51" w:name="_Toc157623429"/>
      <w:bookmarkStart w:id="52" w:name="_Toc502216528"/>
      <w:bookmarkStart w:id="53" w:name="_Toc960123003"/>
      <w:bookmarkStart w:id="54" w:name="_Toc502217622"/>
      <w:r>
        <w:rPr>
          <w:rFonts w:hint="eastAsia" w:ascii="楷体" w:hAnsi="楷体" w:eastAsia="楷体"/>
          <w:sz w:val="28"/>
          <w:szCs w:val="28"/>
        </w:rPr>
        <w:t>（三）</w:t>
      </w:r>
      <w:r>
        <w:rPr>
          <w:rFonts w:ascii="楷体" w:hAnsi="楷体" w:eastAsia="楷体"/>
          <w:sz w:val="28"/>
          <w:szCs w:val="28"/>
        </w:rPr>
        <w:t>交易网关、行情网关和结算网关</w:t>
      </w:r>
      <w:bookmarkEnd w:id="51"/>
      <w:bookmarkEnd w:id="52"/>
      <w:bookmarkEnd w:id="53"/>
      <w:bookmarkEnd w:id="54"/>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日深证通生产环境闭市时数据为准。</w:t>
      </w:r>
    </w:p>
    <w:p>
      <w:pPr>
        <w:pStyle w:val="73"/>
        <w:spacing w:before="163" w:after="163"/>
        <w:ind w:firstLine="560"/>
        <w:rPr>
          <w:rFonts w:eastAsia="楷体" w:cs="Times New Roman"/>
          <w:sz w:val="28"/>
          <w:szCs w:val="28"/>
        </w:rPr>
      </w:pPr>
      <w:bookmarkStart w:id="55" w:name="_Toc1913828385"/>
      <w:bookmarkStart w:id="56" w:name="_Toc157623430"/>
      <w:bookmarkStart w:id="57" w:name="_Toc422310615"/>
      <w:r>
        <w:rPr>
          <w:rFonts w:eastAsia="楷体" w:cs="Times New Roman"/>
          <w:sz w:val="28"/>
          <w:szCs w:val="28"/>
        </w:rPr>
        <w:t>（四）FDEP小站</w:t>
      </w:r>
      <w:bookmarkEnd w:id="55"/>
      <w:bookmarkEnd w:id="5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证券公司用于接收北交所下发文件的FDEP小站号</w:t>
      </w:r>
      <w:r>
        <w:rPr>
          <w:rFonts w:cs="Times New Roman"/>
          <w:color w:val="000000" w:themeColor="text1"/>
          <w:sz w:val="30"/>
          <w:szCs w:val="30"/>
          <w14:textFill>
            <w14:solidFill>
              <w14:schemeClr w14:val="tx1"/>
            </w14:solidFill>
          </w14:textFill>
        </w:rPr>
        <w:t>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生产环境闭市时数据为准</w:t>
      </w:r>
      <w:r>
        <w:rPr>
          <w:rFonts w:hint="eastAsia" w:cs="Times New Roman"/>
          <w:color w:val="000000" w:themeColor="text1"/>
          <w:sz w:val="30"/>
          <w:szCs w:val="30"/>
          <w14:textFill>
            <w14:solidFill>
              <w14:schemeClr w14:val="tx1"/>
            </w14:solidFill>
          </w14:textFill>
        </w:rPr>
        <w:t>。北交所FDEP小站号为k</w:t>
      </w:r>
      <w:r>
        <w:rPr>
          <w:rFonts w:cs="Times New Roman"/>
          <w:color w:val="000000" w:themeColor="text1"/>
          <w:sz w:val="30"/>
          <w:szCs w:val="30"/>
          <w14:textFill>
            <w14:solidFill>
              <w14:schemeClr w14:val="tx1"/>
            </w14:solidFill>
          </w14:textFill>
        </w:rPr>
        <w:t>0903</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p>
    <w:bookmarkEnd w:id="57"/>
    <w:p>
      <w:pPr>
        <w:pStyle w:val="73"/>
        <w:spacing w:before="163" w:after="163"/>
        <w:ind w:firstLine="600"/>
      </w:pPr>
      <w:bookmarkStart w:id="58" w:name="_Toc374381928"/>
      <w:bookmarkStart w:id="59" w:name="_Toc375070738"/>
      <w:bookmarkStart w:id="60" w:name="_Toc376597526"/>
      <w:bookmarkStart w:id="61" w:name="_Toc157623431"/>
      <w:bookmarkStart w:id="62" w:name="_Toc376285233"/>
      <w:bookmarkStart w:id="63" w:name="_Toc374381862"/>
      <w:bookmarkStart w:id="64" w:name="_Toc375557974"/>
      <w:bookmarkStart w:id="65" w:name="_Toc374957920"/>
      <w:bookmarkStart w:id="66" w:name="_Toc1386646997"/>
      <w:r>
        <w:rPr>
          <w:rFonts w:hint="eastAsia"/>
        </w:rPr>
        <w:t>八、</w:t>
      </w:r>
      <w:r>
        <w:t>全网测试系统接入方式</w:t>
      </w:r>
      <w:bookmarkEnd w:id="58"/>
      <w:bookmarkEnd w:id="59"/>
      <w:bookmarkEnd w:id="60"/>
      <w:bookmarkEnd w:id="61"/>
      <w:bookmarkEnd w:id="62"/>
      <w:bookmarkEnd w:id="63"/>
      <w:bookmarkEnd w:id="64"/>
      <w:bookmarkEnd w:id="65"/>
      <w:bookmarkEnd w:id="66"/>
    </w:p>
    <w:p>
      <w:pPr>
        <w:pStyle w:val="73"/>
        <w:spacing w:before="163" w:after="163"/>
        <w:ind w:firstLine="560"/>
        <w:rPr>
          <w:rFonts w:eastAsia="楷体" w:cs="Times New Roman"/>
          <w:sz w:val="28"/>
          <w:szCs w:val="28"/>
        </w:rPr>
      </w:pPr>
      <w:bookmarkStart w:id="67" w:name="_Toc416422123"/>
      <w:bookmarkStart w:id="68" w:name="_Toc157623432"/>
      <w:bookmarkStart w:id="69" w:name="_Toc502850310"/>
      <w:bookmarkStart w:id="70" w:name="_Toc374381864"/>
      <w:bookmarkStart w:id="71" w:name="_Toc375070740"/>
      <w:bookmarkStart w:id="72" w:name="_Toc374381930"/>
      <w:bookmarkStart w:id="73" w:name="_Toc376285235"/>
      <w:bookmarkStart w:id="74" w:name="_Toc375557976"/>
      <w:bookmarkStart w:id="75" w:name="_Toc374957922"/>
      <w:bookmarkStart w:id="76" w:name="_Toc376597528"/>
      <w:r>
        <w:rPr>
          <w:rFonts w:hint="eastAsia" w:eastAsia="楷体" w:cs="Times New Roman"/>
          <w:sz w:val="28"/>
          <w:szCs w:val="28"/>
        </w:rPr>
        <w:t>（一）</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接入深证通</w:t>
      </w:r>
      <w:bookmarkEnd w:id="67"/>
      <w:bookmarkEnd w:id="68"/>
      <w:bookmarkEnd w:id="69"/>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3"/>
        <w:spacing w:before="163" w:after="163"/>
        <w:ind w:firstLine="560"/>
        <w:rPr>
          <w:rFonts w:eastAsia="楷体" w:cs="Times New Roman"/>
          <w:sz w:val="28"/>
          <w:szCs w:val="28"/>
        </w:rPr>
      </w:pPr>
      <w:bookmarkStart w:id="77" w:name="_Toc157623433"/>
      <w:bookmarkStart w:id="78" w:name="_Toc1377912424"/>
      <w:bookmarkStart w:id="79" w:name="_Toc386964499"/>
      <w:bookmarkStart w:id="80" w:name="_Toc416422124"/>
      <w:r>
        <w:rPr>
          <w:rFonts w:hint="eastAsia" w:eastAsia="楷体" w:cs="Times New Roman"/>
          <w:sz w:val="28"/>
          <w:szCs w:val="28"/>
        </w:rPr>
        <w:t>（二）</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w:t>
      </w:r>
      <w:r>
        <w:rPr>
          <w:rFonts w:hint="eastAsia" w:eastAsia="楷体" w:cs="Times New Roman"/>
          <w:sz w:val="28"/>
          <w:szCs w:val="28"/>
        </w:rPr>
        <w:t>中国结算</w:t>
      </w:r>
      <w:bookmarkEnd w:id="77"/>
      <w:bookmarkEnd w:id="7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0"/>
        <w:rPr>
          <w:rFonts w:eastAsia="楷体" w:cs="Times New Roman"/>
          <w:sz w:val="28"/>
          <w:szCs w:val="28"/>
        </w:rPr>
      </w:pPr>
      <w:bookmarkStart w:id="81" w:name="_Toc157623434"/>
      <w:bookmarkStart w:id="82" w:name="_Toc716568656"/>
      <w:r>
        <w:rPr>
          <w:rFonts w:hint="eastAsia" w:eastAsia="楷体" w:cs="Times New Roman"/>
          <w:sz w:val="28"/>
          <w:szCs w:val="28"/>
        </w:rPr>
        <w:t>（三）</w:t>
      </w:r>
      <w:r>
        <w:rPr>
          <w:rFonts w:eastAsia="楷体" w:cs="Times New Roman"/>
          <w:sz w:val="28"/>
          <w:szCs w:val="28"/>
        </w:rPr>
        <w:t>测试相关软件下载</w:t>
      </w:r>
      <w:bookmarkEnd w:id="79"/>
      <w:bookmarkEnd w:id="80"/>
      <w:bookmarkEnd w:id="81"/>
      <w:bookmarkEnd w:id="82"/>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p>
    <w:bookmarkEnd w:id="70"/>
    <w:bookmarkEnd w:id="71"/>
    <w:bookmarkEnd w:id="72"/>
    <w:bookmarkEnd w:id="73"/>
    <w:bookmarkEnd w:id="74"/>
    <w:bookmarkEnd w:id="75"/>
    <w:bookmarkEnd w:id="76"/>
    <w:p>
      <w:pPr>
        <w:pStyle w:val="73"/>
        <w:spacing w:before="163" w:after="163"/>
        <w:ind w:firstLine="600"/>
      </w:pPr>
      <w:bookmarkStart w:id="83" w:name="_Toc375557978"/>
      <w:bookmarkStart w:id="84" w:name="_Toc375070742"/>
      <w:bookmarkStart w:id="85" w:name="_Toc374381866"/>
      <w:bookmarkStart w:id="86" w:name="_Toc374957924"/>
      <w:bookmarkStart w:id="87" w:name="_Toc376285237"/>
      <w:bookmarkStart w:id="88" w:name="_Toc374381932"/>
      <w:bookmarkStart w:id="89" w:name="_Toc157623435"/>
      <w:bookmarkStart w:id="90" w:name="_Toc1509349101"/>
      <w:bookmarkStart w:id="91" w:name="_Toc376597530"/>
      <w:r>
        <w:rPr>
          <w:rFonts w:hint="eastAsia"/>
        </w:rPr>
        <w:t>九、</w:t>
      </w:r>
      <w:r>
        <w:t>测试要求及注意事项</w:t>
      </w:r>
      <w:bookmarkEnd w:id="83"/>
      <w:bookmarkEnd w:id="84"/>
      <w:bookmarkEnd w:id="85"/>
      <w:bookmarkEnd w:id="86"/>
      <w:bookmarkEnd w:id="87"/>
      <w:bookmarkEnd w:id="88"/>
      <w:bookmarkEnd w:id="89"/>
      <w:bookmarkEnd w:id="90"/>
      <w:bookmarkEnd w:id="91"/>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详尽的测试计划，并指定专人负责本次全网测试工作。</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.开展北交所业务的证券公司</w:t>
      </w:r>
      <w:r>
        <w:rPr>
          <w:rFonts w:hint="eastAsia" w:cs="Times New Roman"/>
          <w:color w:val="000000" w:themeColor="text1"/>
          <w:sz w:val="30"/>
          <w:szCs w:val="30"/>
          <w:lang w:val="en"/>
          <w14:textFill>
            <w14:solidFill>
              <w14:schemeClr w14:val="tx1"/>
            </w14:solidFill>
          </w14:textFill>
        </w:rPr>
        <w:t>应参加测试，已开展融资融券或北交所做市交易业务的证券公司应安排参测相关业务场景。证券公司应通知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3.开展北交所业务的基金公司和提供北交所行情服务的信息商应参加测试。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在测试过程中，各参测机构应详细记载测试现象与结果，检查其正确性。如发现异常现象，请及时通过电话或QQ群与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证券公司、基金公司和信息商应收集各自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w:t>
      </w:r>
      <w:r>
        <w:rPr>
          <w:rFonts w:cs="Times New Roman"/>
          <w:color w:val="000000" w:themeColor="text1"/>
          <w:sz w:val="30"/>
          <w:szCs w:val="30"/>
          <w14:textFill>
            <w14:solidFill>
              <w14:schemeClr w14:val="tx1"/>
            </w14:solidFill>
          </w14:textFill>
        </w:rPr>
        <w:t>20:30之前通过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北交所股票启用新证券代码号段</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N次全网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92" w:name="_Toc374381935"/>
      <w:bookmarkStart w:id="93" w:name="_Toc376285240"/>
      <w:bookmarkStart w:id="94" w:name="_Toc375070745"/>
      <w:bookmarkStart w:id="95" w:name="_Toc374957927"/>
      <w:bookmarkStart w:id="96" w:name="_Toc157623436"/>
      <w:bookmarkStart w:id="97" w:name="_Toc376597533"/>
      <w:bookmarkStart w:id="98" w:name="_Toc375557981"/>
      <w:bookmarkStart w:id="99" w:name="_Toc2062526509"/>
      <w:bookmarkStart w:id="100" w:name="_Toc374381869"/>
      <w:r>
        <w:t>十</w:t>
      </w:r>
      <w:r>
        <w:rPr>
          <w:rFonts w:hint="eastAsia"/>
        </w:rPr>
        <w:t>、</w:t>
      </w:r>
      <w:r>
        <w:t>联系方式</w:t>
      </w:r>
      <w:bookmarkEnd w:id="92"/>
      <w:bookmarkEnd w:id="93"/>
      <w:bookmarkEnd w:id="94"/>
      <w:bookmarkEnd w:id="95"/>
      <w:bookmarkEnd w:id="96"/>
      <w:bookmarkEnd w:id="97"/>
      <w:bookmarkEnd w:id="98"/>
      <w:bookmarkEnd w:id="99"/>
      <w:bookmarkEnd w:id="100"/>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全网测试联系单位（人）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全国股转公司北交所技术通知群：536137764</w:t>
            </w:r>
          </w:p>
          <w:p>
            <w:pPr>
              <w:ind w:firstLine="0" w:firstLineChars="0"/>
              <w:jc w:val="center"/>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全国股转公司北交所交易运行维护2群：362089063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right="1200" w:firstLine="0" w:firstLineChars="0"/>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四</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FangSong">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659043"/>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50003681"/>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A602B"/>
    <w:multiLevelType w:val="multilevel"/>
    <w:tmpl w:val="09AA602B"/>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1">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56484"/>
    <w:rsid w:val="00060E86"/>
    <w:rsid w:val="00061357"/>
    <w:rsid w:val="000634E3"/>
    <w:rsid w:val="00074A7E"/>
    <w:rsid w:val="000804B5"/>
    <w:rsid w:val="00080895"/>
    <w:rsid w:val="00080B96"/>
    <w:rsid w:val="00081010"/>
    <w:rsid w:val="00091A09"/>
    <w:rsid w:val="000A2740"/>
    <w:rsid w:val="000A4D6D"/>
    <w:rsid w:val="000A5065"/>
    <w:rsid w:val="000A666E"/>
    <w:rsid w:val="000B0B0C"/>
    <w:rsid w:val="000B0C3E"/>
    <w:rsid w:val="000C05E3"/>
    <w:rsid w:val="000C1477"/>
    <w:rsid w:val="000C349B"/>
    <w:rsid w:val="000C3BFD"/>
    <w:rsid w:val="000C7A4B"/>
    <w:rsid w:val="000C7BA4"/>
    <w:rsid w:val="000D0227"/>
    <w:rsid w:val="000D6685"/>
    <w:rsid w:val="000D75C2"/>
    <w:rsid w:val="000E2A65"/>
    <w:rsid w:val="000E3E52"/>
    <w:rsid w:val="000E4A53"/>
    <w:rsid w:val="000E6435"/>
    <w:rsid w:val="000F1908"/>
    <w:rsid w:val="000F6857"/>
    <w:rsid w:val="00100291"/>
    <w:rsid w:val="00100FBF"/>
    <w:rsid w:val="00101373"/>
    <w:rsid w:val="00107BA4"/>
    <w:rsid w:val="00113FBF"/>
    <w:rsid w:val="00115F86"/>
    <w:rsid w:val="00130333"/>
    <w:rsid w:val="00131083"/>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86C81"/>
    <w:rsid w:val="001902F0"/>
    <w:rsid w:val="00190447"/>
    <w:rsid w:val="00193B89"/>
    <w:rsid w:val="00193EB0"/>
    <w:rsid w:val="00193ECC"/>
    <w:rsid w:val="001949B0"/>
    <w:rsid w:val="0019725F"/>
    <w:rsid w:val="001978C8"/>
    <w:rsid w:val="001A0255"/>
    <w:rsid w:val="001A70B7"/>
    <w:rsid w:val="001A7EE0"/>
    <w:rsid w:val="001B0151"/>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222A9"/>
    <w:rsid w:val="0023258F"/>
    <w:rsid w:val="00234E19"/>
    <w:rsid w:val="002406AF"/>
    <w:rsid w:val="00240BAB"/>
    <w:rsid w:val="00241718"/>
    <w:rsid w:val="00242A49"/>
    <w:rsid w:val="002436A0"/>
    <w:rsid w:val="00247AC2"/>
    <w:rsid w:val="00252AF6"/>
    <w:rsid w:val="00253C9D"/>
    <w:rsid w:val="00253E73"/>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1968"/>
    <w:rsid w:val="00335E68"/>
    <w:rsid w:val="0033640B"/>
    <w:rsid w:val="00336769"/>
    <w:rsid w:val="003435C8"/>
    <w:rsid w:val="0034490A"/>
    <w:rsid w:val="00345601"/>
    <w:rsid w:val="00345A5A"/>
    <w:rsid w:val="00362F19"/>
    <w:rsid w:val="00363B70"/>
    <w:rsid w:val="003642E5"/>
    <w:rsid w:val="00370795"/>
    <w:rsid w:val="003731DE"/>
    <w:rsid w:val="00373C01"/>
    <w:rsid w:val="00374DAD"/>
    <w:rsid w:val="00376C12"/>
    <w:rsid w:val="00385178"/>
    <w:rsid w:val="00387E17"/>
    <w:rsid w:val="003936CB"/>
    <w:rsid w:val="003A18ED"/>
    <w:rsid w:val="003A3C96"/>
    <w:rsid w:val="003A3D7E"/>
    <w:rsid w:val="003B5A65"/>
    <w:rsid w:val="003B644C"/>
    <w:rsid w:val="003B662E"/>
    <w:rsid w:val="003C1112"/>
    <w:rsid w:val="003C2282"/>
    <w:rsid w:val="003C23AB"/>
    <w:rsid w:val="003C5E51"/>
    <w:rsid w:val="003C5F2F"/>
    <w:rsid w:val="003C7CCB"/>
    <w:rsid w:val="003E4A8B"/>
    <w:rsid w:val="003F01F0"/>
    <w:rsid w:val="003F2AA4"/>
    <w:rsid w:val="00401621"/>
    <w:rsid w:val="00407FF3"/>
    <w:rsid w:val="00416021"/>
    <w:rsid w:val="0042028F"/>
    <w:rsid w:val="004243EC"/>
    <w:rsid w:val="00425E28"/>
    <w:rsid w:val="00427365"/>
    <w:rsid w:val="0043256A"/>
    <w:rsid w:val="00436F29"/>
    <w:rsid w:val="00437D28"/>
    <w:rsid w:val="0044032D"/>
    <w:rsid w:val="004522B0"/>
    <w:rsid w:val="00455DB9"/>
    <w:rsid w:val="004568C9"/>
    <w:rsid w:val="00456985"/>
    <w:rsid w:val="004612E9"/>
    <w:rsid w:val="0046391E"/>
    <w:rsid w:val="00463E9C"/>
    <w:rsid w:val="00467A63"/>
    <w:rsid w:val="00472ED3"/>
    <w:rsid w:val="0047526B"/>
    <w:rsid w:val="004821DA"/>
    <w:rsid w:val="00484635"/>
    <w:rsid w:val="004856D6"/>
    <w:rsid w:val="00487504"/>
    <w:rsid w:val="0049165A"/>
    <w:rsid w:val="004921BC"/>
    <w:rsid w:val="00492EA6"/>
    <w:rsid w:val="0049466C"/>
    <w:rsid w:val="00495886"/>
    <w:rsid w:val="00495945"/>
    <w:rsid w:val="00496D8F"/>
    <w:rsid w:val="00497D1B"/>
    <w:rsid w:val="004A1446"/>
    <w:rsid w:val="004A4F42"/>
    <w:rsid w:val="004B07C1"/>
    <w:rsid w:val="004B0EA0"/>
    <w:rsid w:val="004B115B"/>
    <w:rsid w:val="004B2611"/>
    <w:rsid w:val="004B3466"/>
    <w:rsid w:val="004B55CC"/>
    <w:rsid w:val="004C64A5"/>
    <w:rsid w:val="004D1909"/>
    <w:rsid w:val="004E21F8"/>
    <w:rsid w:val="004E3D4D"/>
    <w:rsid w:val="004E587F"/>
    <w:rsid w:val="004F1807"/>
    <w:rsid w:val="004F1AC3"/>
    <w:rsid w:val="004F5327"/>
    <w:rsid w:val="005006A8"/>
    <w:rsid w:val="00505DA1"/>
    <w:rsid w:val="00512808"/>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25AD"/>
    <w:rsid w:val="00585660"/>
    <w:rsid w:val="0059060E"/>
    <w:rsid w:val="005918F3"/>
    <w:rsid w:val="005A2515"/>
    <w:rsid w:val="005B076F"/>
    <w:rsid w:val="005B53EF"/>
    <w:rsid w:val="005C0530"/>
    <w:rsid w:val="005C0D5D"/>
    <w:rsid w:val="005D0387"/>
    <w:rsid w:val="005D10E0"/>
    <w:rsid w:val="005D2DAD"/>
    <w:rsid w:val="005D4749"/>
    <w:rsid w:val="005E0EF0"/>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923AD"/>
    <w:rsid w:val="00694B1E"/>
    <w:rsid w:val="00696476"/>
    <w:rsid w:val="006A0848"/>
    <w:rsid w:val="006A0E95"/>
    <w:rsid w:val="006A1AA4"/>
    <w:rsid w:val="006A2BC2"/>
    <w:rsid w:val="006A36DF"/>
    <w:rsid w:val="006A40A0"/>
    <w:rsid w:val="006B0241"/>
    <w:rsid w:val="006B241C"/>
    <w:rsid w:val="006B2B18"/>
    <w:rsid w:val="006C0B8B"/>
    <w:rsid w:val="006C5775"/>
    <w:rsid w:val="006D1CFF"/>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5EBB"/>
    <w:rsid w:val="0072024D"/>
    <w:rsid w:val="007211EC"/>
    <w:rsid w:val="00721CCB"/>
    <w:rsid w:val="0072630D"/>
    <w:rsid w:val="007306AE"/>
    <w:rsid w:val="00733F21"/>
    <w:rsid w:val="00753120"/>
    <w:rsid w:val="007544C5"/>
    <w:rsid w:val="00755F4B"/>
    <w:rsid w:val="00767E91"/>
    <w:rsid w:val="00767F1F"/>
    <w:rsid w:val="00774158"/>
    <w:rsid w:val="00780062"/>
    <w:rsid w:val="007835B6"/>
    <w:rsid w:val="00785FE5"/>
    <w:rsid w:val="00786A27"/>
    <w:rsid w:val="00786D46"/>
    <w:rsid w:val="00792C28"/>
    <w:rsid w:val="00793331"/>
    <w:rsid w:val="00794E83"/>
    <w:rsid w:val="00795E74"/>
    <w:rsid w:val="0079718C"/>
    <w:rsid w:val="007A083E"/>
    <w:rsid w:val="007A6CA5"/>
    <w:rsid w:val="007B0A94"/>
    <w:rsid w:val="007C007D"/>
    <w:rsid w:val="007C0B0A"/>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6DE"/>
    <w:rsid w:val="00885B06"/>
    <w:rsid w:val="00885D05"/>
    <w:rsid w:val="0089111C"/>
    <w:rsid w:val="00892181"/>
    <w:rsid w:val="008B4B2F"/>
    <w:rsid w:val="008B6939"/>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0802"/>
    <w:rsid w:val="00931CD2"/>
    <w:rsid w:val="00933037"/>
    <w:rsid w:val="0093438C"/>
    <w:rsid w:val="0094370A"/>
    <w:rsid w:val="009452AB"/>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1CE8"/>
    <w:rsid w:val="009A20F1"/>
    <w:rsid w:val="009A35A9"/>
    <w:rsid w:val="009A4E1B"/>
    <w:rsid w:val="009A5843"/>
    <w:rsid w:val="009B239A"/>
    <w:rsid w:val="009B3AAB"/>
    <w:rsid w:val="009B42B2"/>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DEF"/>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BF714A"/>
    <w:rsid w:val="00C00622"/>
    <w:rsid w:val="00C03F91"/>
    <w:rsid w:val="00C05C47"/>
    <w:rsid w:val="00C061BA"/>
    <w:rsid w:val="00C11427"/>
    <w:rsid w:val="00C12207"/>
    <w:rsid w:val="00C14BE5"/>
    <w:rsid w:val="00C16782"/>
    <w:rsid w:val="00C16ABA"/>
    <w:rsid w:val="00C21529"/>
    <w:rsid w:val="00C236DC"/>
    <w:rsid w:val="00C2520E"/>
    <w:rsid w:val="00C31A71"/>
    <w:rsid w:val="00C33ABB"/>
    <w:rsid w:val="00C33DC7"/>
    <w:rsid w:val="00C36DBA"/>
    <w:rsid w:val="00C37472"/>
    <w:rsid w:val="00C51B22"/>
    <w:rsid w:val="00C53095"/>
    <w:rsid w:val="00C53A2D"/>
    <w:rsid w:val="00C5497C"/>
    <w:rsid w:val="00C5591D"/>
    <w:rsid w:val="00C60678"/>
    <w:rsid w:val="00C64131"/>
    <w:rsid w:val="00C64423"/>
    <w:rsid w:val="00C6502A"/>
    <w:rsid w:val="00C652D8"/>
    <w:rsid w:val="00C656F8"/>
    <w:rsid w:val="00C7138C"/>
    <w:rsid w:val="00C8073E"/>
    <w:rsid w:val="00C80CB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53D"/>
    <w:rsid w:val="00CD3ADA"/>
    <w:rsid w:val="00CD3B46"/>
    <w:rsid w:val="00CD4258"/>
    <w:rsid w:val="00CD52C1"/>
    <w:rsid w:val="00CE621D"/>
    <w:rsid w:val="00CF54E4"/>
    <w:rsid w:val="00CF56B2"/>
    <w:rsid w:val="00D00542"/>
    <w:rsid w:val="00D00C9F"/>
    <w:rsid w:val="00D0254E"/>
    <w:rsid w:val="00D04E81"/>
    <w:rsid w:val="00D050DC"/>
    <w:rsid w:val="00D14351"/>
    <w:rsid w:val="00D14569"/>
    <w:rsid w:val="00D17350"/>
    <w:rsid w:val="00D24741"/>
    <w:rsid w:val="00D30DC0"/>
    <w:rsid w:val="00D32F2D"/>
    <w:rsid w:val="00D33719"/>
    <w:rsid w:val="00D36B25"/>
    <w:rsid w:val="00D37A4D"/>
    <w:rsid w:val="00D4786A"/>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9732B"/>
    <w:rsid w:val="00DA1317"/>
    <w:rsid w:val="00DA3F10"/>
    <w:rsid w:val="00DA3F36"/>
    <w:rsid w:val="00DA5075"/>
    <w:rsid w:val="00DA6588"/>
    <w:rsid w:val="00DA71AA"/>
    <w:rsid w:val="00DB17BB"/>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2E7C"/>
    <w:rsid w:val="00EC3ACD"/>
    <w:rsid w:val="00ED1A6A"/>
    <w:rsid w:val="00ED6518"/>
    <w:rsid w:val="00ED7AE7"/>
    <w:rsid w:val="00EE16E5"/>
    <w:rsid w:val="00EE375C"/>
    <w:rsid w:val="00EE5E8C"/>
    <w:rsid w:val="00EE77EB"/>
    <w:rsid w:val="00EF4C9C"/>
    <w:rsid w:val="00F01128"/>
    <w:rsid w:val="00F02080"/>
    <w:rsid w:val="00F052BF"/>
    <w:rsid w:val="00F074B2"/>
    <w:rsid w:val="00F10A6C"/>
    <w:rsid w:val="00F11617"/>
    <w:rsid w:val="00F12F25"/>
    <w:rsid w:val="00F1638A"/>
    <w:rsid w:val="00F16E0B"/>
    <w:rsid w:val="00F22F46"/>
    <w:rsid w:val="00F2434E"/>
    <w:rsid w:val="00F24F0B"/>
    <w:rsid w:val="00F3059E"/>
    <w:rsid w:val="00F312A2"/>
    <w:rsid w:val="00F408C9"/>
    <w:rsid w:val="00F425F6"/>
    <w:rsid w:val="00F42707"/>
    <w:rsid w:val="00F55B5B"/>
    <w:rsid w:val="00F56794"/>
    <w:rsid w:val="00F60079"/>
    <w:rsid w:val="00F61EBB"/>
    <w:rsid w:val="00F6534B"/>
    <w:rsid w:val="00F66A82"/>
    <w:rsid w:val="00F66B55"/>
    <w:rsid w:val="00F679A0"/>
    <w:rsid w:val="00F76970"/>
    <w:rsid w:val="00F806E6"/>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D1697"/>
    <w:rsid w:val="00FE1D16"/>
    <w:rsid w:val="00FE5600"/>
    <w:rsid w:val="00FF01F8"/>
    <w:rsid w:val="00FF0FE4"/>
    <w:rsid w:val="00FF5FB4"/>
    <w:rsid w:val="035A88D3"/>
    <w:rsid w:val="0E6D8802"/>
    <w:rsid w:val="0FABB11C"/>
    <w:rsid w:val="0FCF826C"/>
    <w:rsid w:val="0FDFBCCF"/>
    <w:rsid w:val="177C2306"/>
    <w:rsid w:val="17CF285E"/>
    <w:rsid w:val="1AFB273A"/>
    <w:rsid w:val="1B30BE67"/>
    <w:rsid w:val="1BD4F451"/>
    <w:rsid w:val="1BFD8A42"/>
    <w:rsid w:val="1BFE62C3"/>
    <w:rsid w:val="1E374714"/>
    <w:rsid w:val="1E4DA63C"/>
    <w:rsid w:val="1F7E13DA"/>
    <w:rsid w:val="1F7FBD08"/>
    <w:rsid w:val="1FAF85B8"/>
    <w:rsid w:val="1FDEE27A"/>
    <w:rsid w:val="1FDF33B1"/>
    <w:rsid w:val="1FEE6A25"/>
    <w:rsid w:val="1FFDFB4D"/>
    <w:rsid w:val="22E571A1"/>
    <w:rsid w:val="22F50A7B"/>
    <w:rsid w:val="25FDD84D"/>
    <w:rsid w:val="26718E42"/>
    <w:rsid w:val="27D91059"/>
    <w:rsid w:val="2AFEBA90"/>
    <w:rsid w:val="2B7F5988"/>
    <w:rsid w:val="2B9F2956"/>
    <w:rsid w:val="2CF75A8D"/>
    <w:rsid w:val="2F0437DC"/>
    <w:rsid w:val="2F3803F6"/>
    <w:rsid w:val="2FB71492"/>
    <w:rsid w:val="2FBFB258"/>
    <w:rsid w:val="2FE7A00B"/>
    <w:rsid w:val="2FFE3B5F"/>
    <w:rsid w:val="2FFF97F0"/>
    <w:rsid w:val="33B74C74"/>
    <w:rsid w:val="34F55495"/>
    <w:rsid w:val="35D69390"/>
    <w:rsid w:val="35FDD31B"/>
    <w:rsid w:val="375D0D48"/>
    <w:rsid w:val="375FCD8E"/>
    <w:rsid w:val="37FE8900"/>
    <w:rsid w:val="3A276381"/>
    <w:rsid w:val="3ABD502E"/>
    <w:rsid w:val="3AFE8242"/>
    <w:rsid w:val="3B7F1825"/>
    <w:rsid w:val="3B9DCF55"/>
    <w:rsid w:val="3BBFDF02"/>
    <w:rsid w:val="3BFD884A"/>
    <w:rsid w:val="3BFFC07B"/>
    <w:rsid w:val="3CFF6CC9"/>
    <w:rsid w:val="3D3FEDF9"/>
    <w:rsid w:val="3D5EF811"/>
    <w:rsid w:val="3D9F8D0A"/>
    <w:rsid w:val="3DEDE560"/>
    <w:rsid w:val="3DF4EFAB"/>
    <w:rsid w:val="3DFBA024"/>
    <w:rsid w:val="3E7F7604"/>
    <w:rsid w:val="3E9D26A9"/>
    <w:rsid w:val="3EB7931E"/>
    <w:rsid w:val="3EBFAEBD"/>
    <w:rsid w:val="3F0D7818"/>
    <w:rsid w:val="3F1B83A3"/>
    <w:rsid w:val="3F1FC95B"/>
    <w:rsid w:val="3F53C2AF"/>
    <w:rsid w:val="3F74D583"/>
    <w:rsid w:val="3F7DDF8C"/>
    <w:rsid w:val="3F7FAE8B"/>
    <w:rsid w:val="3F7FC16D"/>
    <w:rsid w:val="3FCDE2C9"/>
    <w:rsid w:val="3FD70DE1"/>
    <w:rsid w:val="3FDD2986"/>
    <w:rsid w:val="3FEFD18E"/>
    <w:rsid w:val="3FF35298"/>
    <w:rsid w:val="3FF37C57"/>
    <w:rsid w:val="41D39DAE"/>
    <w:rsid w:val="41DF6CC2"/>
    <w:rsid w:val="47731B6A"/>
    <w:rsid w:val="47BEB979"/>
    <w:rsid w:val="47F6940D"/>
    <w:rsid w:val="47F77165"/>
    <w:rsid w:val="4AFE6D9A"/>
    <w:rsid w:val="4BB6D580"/>
    <w:rsid w:val="4BD72FBC"/>
    <w:rsid w:val="4BDE9B44"/>
    <w:rsid w:val="4BFF4DC1"/>
    <w:rsid w:val="4DCFA4B1"/>
    <w:rsid w:val="4EFFC6C2"/>
    <w:rsid w:val="4FD78212"/>
    <w:rsid w:val="4FD7AD40"/>
    <w:rsid w:val="4FFC5CE9"/>
    <w:rsid w:val="4FFF1D93"/>
    <w:rsid w:val="4FFFDA9E"/>
    <w:rsid w:val="52EDABB8"/>
    <w:rsid w:val="53AC9643"/>
    <w:rsid w:val="53DF5945"/>
    <w:rsid w:val="56DF5558"/>
    <w:rsid w:val="56EDD61D"/>
    <w:rsid w:val="56FFBFF8"/>
    <w:rsid w:val="57373A65"/>
    <w:rsid w:val="573BB712"/>
    <w:rsid w:val="57CFCBAF"/>
    <w:rsid w:val="57D39885"/>
    <w:rsid w:val="57DFE3A1"/>
    <w:rsid w:val="57EB5A3B"/>
    <w:rsid w:val="57F7CBD5"/>
    <w:rsid w:val="5A663819"/>
    <w:rsid w:val="5ACD6D89"/>
    <w:rsid w:val="5AEF981F"/>
    <w:rsid w:val="5AFE1AC7"/>
    <w:rsid w:val="5B6FE370"/>
    <w:rsid w:val="5BB9E575"/>
    <w:rsid w:val="5BD7B19E"/>
    <w:rsid w:val="5BEB5CC0"/>
    <w:rsid w:val="5BEBC172"/>
    <w:rsid w:val="5BEDC4C8"/>
    <w:rsid w:val="5BFC63C4"/>
    <w:rsid w:val="5BFFB4A3"/>
    <w:rsid w:val="5CE36829"/>
    <w:rsid w:val="5D39C9ED"/>
    <w:rsid w:val="5D7486BC"/>
    <w:rsid w:val="5D7F437A"/>
    <w:rsid w:val="5DAF1258"/>
    <w:rsid w:val="5DCF7828"/>
    <w:rsid w:val="5DF7DA5F"/>
    <w:rsid w:val="5DFE5065"/>
    <w:rsid w:val="5DFFCC51"/>
    <w:rsid w:val="5DFFD042"/>
    <w:rsid w:val="5E7FBA52"/>
    <w:rsid w:val="5ECDB12A"/>
    <w:rsid w:val="5EDB9D51"/>
    <w:rsid w:val="5EDFC2F0"/>
    <w:rsid w:val="5EE52C5F"/>
    <w:rsid w:val="5EF62128"/>
    <w:rsid w:val="5EFE1DDA"/>
    <w:rsid w:val="5F722246"/>
    <w:rsid w:val="5F74353A"/>
    <w:rsid w:val="5FB344CB"/>
    <w:rsid w:val="5FBBFB66"/>
    <w:rsid w:val="5FBEC7D9"/>
    <w:rsid w:val="5FCA807C"/>
    <w:rsid w:val="5FD7F52C"/>
    <w:rsid w:val="5FD7F873"/>
    <w:rsid w:val="5FDD4BFA"/>
    <w:rsid w:val="5FEE82C5"/>
    <w:rsid w:val="5FF726EE"/>
    <w:rsid w:val="5FF7ADF1"/>
    <w:rsid w:val="5FFABE54"/>
    <w:rsid w:val="5FFBE19E"/>
    <w:rsid w:val="5FFFAAEF"/>
    <w:rsid w:val="61BF9D14"/>
    <w:rsid w:val="6374C2B6"/>
    <w:rsid w:val="655F8489"/>
    <w:rsid w:val="65BD7D43"/>
    <w:rsid w:val="65FF52CB"/>
    <w:rsid w:val="664D8D55"/>
    <w:rsid w:val="677A210E"/>
    <w:rsid w:val="67EB6F81"/>
    <w:rsid w:val="687B5EF3"/>
    <w:rsid w:val="69572189"/>
    <w:rsid w:val="697FE012"/>
    <w:rsid w:val="69AB97D7"/>
    <w:rsid w:val="69DFA756"/>
    <w:rsid w:val="69E7FC2E"/>
    <w:rsid w:val="69EE88E9"/>
    <w:rsid w:val="69EFA8BD"/>
    <w:rsid w:val="6AFBE6A3"/>
    <w:rsid w:val="6AFFA607"/>
    <w:rsid w:val="6B62346A"/>
    <w:rsid w:val="6B8B324F"/>
    <w:rsid w:val="6BBB0184"/>
    <w:rsid w:val="6BF58DCA"/>
    <w:rsid w:val="6BFBD980"/>
    <w:rsid w:val="6CEB8333"/>
    <w:rsid w:val="6D5D057A"/>
    <w:rsid w:val="6D6E2E0B"/>
    <w:rsid w:val="6DBE779E"/>
    <w:rsid w:val="6DD52F56"/>
    <w:rsid w:val="6DDF8D67"/>
    <w:rsid w:val="6DEDCC6F"/>
    <w:rsid w:val="6DEF38A4"/>
    <w:rsid w:val="6DFBD486"/>
    <w:rsid w:val="6E797347"/>
    <w:rsid w:val="6EEF2C53"/>
    <w:rsid w:val="6FA71348"/>
    <w:rsid w:val="6FBCD3D9"/>
    <w:rsid w:val="6FDFCA01"/>
    <w:rsid w:val="6FE79102"/>
    <w:rsid w:val="6FE7B122"/>
    <w:rsid w:val="6FE8E25B"/>
    <w:rsid w:val="6FEB7186"/>
    <w:rsid w:val="6FFB95F4"/>
    <w:rsid w:val="6FFF5BBB"/>
    <w:rsid w:val="6FFF95C0"/>
    <w:rsid w:val="6FFFA14F"/>
    <w:rsid w:val="70DFAB25"/>
    <w:rsid w:val="716DE32A"/>
    <w:rsid w:val="71FF8452"/>
    <w:rsid w:val="72FF0B66"/>
    <w:rsid w:val="737FEBCA"/>
    <w:rsid w:val="73BBF15D"/>
    <w:rsid w:val="73BFE141"/>
    <w:rsid w:val="73DF21B2"/>
    <w:rsid w:val="73EB15F8"/>
    <w:rsid w:val="73F7EB6D"/>
    <w:rsid w:val="73FB4277"/>
    <w:rsid w:val="73FF05DB"/>
    <w:rsid w:val="752F2B26"/>
    <w:rsid w:val="756A5093"/>
    <w:rsid w:val="75DD6AF4"/>
    <w:rsid w:val="75F8CFD1"/>
    <w:rsid w:val="762B77D9"/>
    <w:rsid w:val="765B8A2F"/>
    <w:rsid w:val="766F7198"/>
    <w:rsid w:val="76AAFDB3"/>
    <w:rsid w:val="76AD5DD1"/>
    <w:rsid w:val="76F2DF38"/>
    <w:rsid w:val="76F9ED7C"/>
    <w:rsid w:val="76FC1ECE"/>
    <w:rsid w:val="76FF849E"/>
    <w:rsid w:val="775F015A"/>
    <w:rsid w:val="776FDBC1"/>
    <w:rsid w:val="777B81CF"/>
    <w:rsid w:val="7783F9CE"/>
    <w:rsid w:val="779D61BF"/>
    <w:rsid w:val="77BEDDB1"/>
    <w:rsid w:val="77D452BB"/>
    <w:rsid w:val="77D74BB7"/>
    <w:rsid w:val="77DAC97D"/>
    <w:rsid w:val="77F51CFE"/>
    <w:rsid w:val="77FD0F18"/>
    <w:rsid w:val="77FD63F9"/>
    <w:rsid w:val="77FE9CC4"/>
    <w:rsid w:val="785CA39F"/>
    <w:rsid w:val="78D7BA91"/>
    <w:rsid w:val="78EDFDE2"/>
    <w:rsid w:val="78FB5589"/>
    <w:rsid w:val="78FF0B7F"/>
    <w:rsid w:val="792B333E"/>
    <w:rsid w:val="79EE11AD"/>
    <w:rsid w:val="79FD6F79"/>
    <w:rsid w:val="7A5DB8F2"/>
    <w:rsid w:val="7A6FCFE0"/>
    <w:rsid w:val="7B2D685D"/>
    <w:rsid w:val="7B38AA48"/>
    <w:rsid w:val="7B3E5059"/>
    <w:rsid w:val="7B4C4E9C"/>
    <w:rsid w:val="7B5B9875"/>
    <w:rsid w:val="7B6A643F"/>
    <w:rsid w:val="7B6FB106"/>
    <w:rsid w:val="7B7E20E0"/>
    <w:rsid w:val="7B7FC676"/>
    <w:rsid w:val="7B7FE1EC"/>
    <w:rsid w:val="7B9E0E9B"/>
    <w:rsid w:val="7BA50BD5"/>
    <w:rsid w:val="7BA9166D"/>
    <w:rsid w:val="7BAF434C"/>
    <w:rsid w:val="7BBD3A42"/>
    <w:rsid w:val="7BBE8E38"/>
    <w:rsid w:val="7BCE3DDF"/>
    <w:rsid w:val="7BD757A8"/>
    <w:rsid w:val="7BDF23F1"/>
    <w:rsid w:val="7BE6A679"/>
    <w:rsid w:val="7BF631C6"/>
    <w:rsid w:val="7BF7F678"/>
    <w:rsid w:val="7BFB1484"/>
    <w:rsid w:val="7BFFE2B5"/>
    <w:rsid w:val="7C746815"/>
    <w:rsid w:val="7CB2300F"/>
    <w:rsid w:val="7CBB7E93"/>
    <w:rsid w:val="7CEF8502"/>
    <w:rsid w:val="7CFCC919"/>
    <w:rsid w:val="7CFF5B64"/>
    <w:rsid w:val="7CFFDF70"/>
    <w:rsid w:val="7D2FB81E"/>
    <w:rsid w:val="7D3DA657"/>
    <w:rsid w:val="7D3E66F4"/>
    <w:rsid w:val="7D4FDCF9"/>
    <w:rsid w:val="7D5A4A99"/>
    <w:rsid w:val="7D6F26CA"/>
    <w:rsid w:val="7DBDAF8A"/>
    <w:rsid w:val="7DDFBE65"/>
    <w:rsid w:val="7DDFDEDF"/>
    <w:rsid w:val="7DEFB448"/>
    <w:rsid w:val="7DF79326"/>
    <w:rsid w:val="7DFB472A"/>
    <w:rsid w:val="7DFBCD35"/>
    <w:rsid w:val="7DFC21A7"/>
    <w:rsid w:val="7DFF9E77"/>
    <w:rsid w:val="7E1B81F1"/>
    <w:rsid w:val="7E3FE0D2"/>
    <w:rsid w:val="7E9F82AC"/>
    <w:rsid w:val="7EB77231"/>
    <w:rsid w:val="7ED74CDB"/>
    <w:rsid w:val="7ED9D710"/>
    <w:rsid w:val="7EE70CBE"/>
    <w:rsid w:val="7EF70406"/>
    <w:rsid w:val="7EF77825"/>
    <w:rsid w:val="7EFC8F42"/>
    <w:rsid w:val="7EFF0337"/>
    <w:rsid w:val="7EFF1346"/>
    <w:rsid w:val="7EFF1389"/>
    <w:rsid w:val="7EFF2C54"/>
    <w:rsid w:val="7EFF6783"/>
    <w:rsid w:val="7EFFD8C4"/>
    <w:rsid w:val="7F1FD03D"/>
    <w:rsid w:val="7F2AB4F8"/>
    <w:rsid w:val="7F335F55"/>
    <w:rsid w:val="7F3F79D3"/>
    <w:rsid w:val="7F3F9E97"/>
    <w:rsid w:val="7F65C13A"/>
    <w:rsid w:val="7F75ECE1"/>
    <w:rsid w:val="7F79406A"/>
    <w:rsid w:val="7F7F3F45"/>
    <w:rsid w:val="7F7FD4B9"/>
    <w:rsid w:val="7F7FE951"/>
    <w:rsid w:val="7F9731E6"/>
    <w:rsid w:val="7FAD3483"/>
    <w:rsid w:val="7FAE924B"/>
    <w:rsid w:val="7FB7BA08"/>
    <w:rsid w:val="7FBA78AC"/>
    <w:rsid w:val="7FBB6C2C"/>
    <w:rsid w:val="7FBFA72F"/>
    <w:rsid w:val="7FBFAA0D"/>
    <w:rsid w:val="7FBFF2AC"/>
    <w:rsid w:val="7FC51405"/>
    <w:rsid w:val="7FCDA118"/>
    <w:rsid w:val="7FD26A00"/>
    <w:rsid w:val="7FD92A39"/>
    <w:rsid w:val="7FDBAF9B"/>
    <w:rsid w:val="7FDD241C"/>
    <w:rsid w:val="7FDD2CAE"/>
    <w:rsid w:val="7FDF184F"/>
    <w:rsid w:val="7FDF8906"/>
    <w:rsid w:val="7FEB9631"/>
    <w:rsid w:val="7FEBB9DE"/>
    <w:rsid w:val="7FF1DDFF"/>
    <w:rsid w:val="7FF328B5"/>
    <w:rsid w:val="7FF3E284"/>
    <w:rsid w:val="7FF41A6B"/>
    <w:rsid w:val="7FF5A682"/>
    <w:rsid w:val="7FF5AF30"/>
    <w:rsid w:val="7FF93F46"/>
    <w:rsid w:val="7FFB8A1D"/>
    <w:rsid w:val="7FFB972C"/>
    <w:rsid w:val="7FFBCF7C"/>
    <w:rsid w:val="7FFBDA72"/>
    <w:rsid w:val="7FFD242B"/>
    <w:rsid w:val="7FFDD3D9"/>
    <w:rsid w:val="7FFE4D87"/>
    <w:rsid w:val="7FFF52EC"/>
    <w:rsid w:val="7FFF66AA"/>
    <w:rsid w:val="7FFFF194"/>
    <w:rsid w:val="7FFFFD0E"/>
    <w:rsid w:val="808EE30D"/>
    <w:rsid w:val="86FAE486"/>
    <w:rsid w:val="8B420D7E"/>
    <w:rsid w:val="8EF7DCFE"/>
    <w:rsid w:val="8FFB060B"/>
    <w:rsid w:val="96DFA075"/>
    <w:rsid w:val="96E70BCA"/>
    <w:rsid w:val="96FE6E8D"/>
    <w:rsid w:val="97BF9027"/>
    <w:rsid w:val="97EA965F"/>
    <w:rsid w:val="97EE2886"/>
    <w:rsid w:val="98EF367D"/>
    <w:rsid w:val="99479B4D"/>
    <w:rsid w:val="996FECAC"/>
    <w:rsid w:val="9BAB298F"/>
    <w:rsid w:val="9BB7FC3B"/>
    <w:rsid w:val="9BEB4034"/>
    <w:rsid w:val="9BFF9AC8"/>
    <w:rsid w:val="9CF646D7"/>
    <w:rsid w:val="9DEB6AD9"/>
    <w:rsid w:val="9ECB4A03"/>
    <w:rsid w:val="9EFFD684"/>
    <w:rsid w:val="9F3163C6"/>
    <w:rsid w:val="9FE7BF93"/>
    <w:rsid w:val="9FFF08A4"/>
    <w:rsid w:val="A1F74905"/>
    <w:rsid w:val="A2AB440E"/>
    <w:rsid w:val="A2DF73FB"/>
    <w:rsid w:val="A33F56F7"/>
    <w:rsid w:val="A39F42AB"/>
    <w:rsid w:val="A6EF1C14"/>
    <w:rsid w:val="A77BC275"/>
    <w:rsid w:val="A7DAA3F2"/>
    <w:rsid w:val="A91F7E1F"/>
    <w:rsid w:val="A9DFCB54"/>
    <w:rsid w:val="AB6BBE87"/>
    <w:rsid w:val="ABDA4410"/>
    <w:rsid w:val="ACF72C3C"/>
    <w:rsid w:val="ACF77F4D"/>
    <w:rsid w:val="AD5B8CC0"/>
    <w:rsid w:val="AE8F42A6"/>
    <w:rsid w:val="AF1F386C"/>
    <w:rsid w:val="AF7B984B"/>
    <w:rsid w:val="AFAE646A"/>
    <w:rsid w:val="AFBC0D8E"/>
    <w:rsid w:val="AFD76B2F"/>
    <w:rsid w:val="B2BBCEEA"/>
    <w:rsid w:val="B34FE00D"/>
    <w:rsid w:val="B3FE2EAB"/>
    <w:rsid w:val="B6779179"/>
    <w:rsid w:val="B6FA16FB"/>
    <w:rsid w:val="B77DED93"/>
    <w:rsid w:val="B77F2828"/>
    <w:rsid w:val="B7EBDF55"/>
    <w:rsid w:val="B8BF397C"/>
    <w:rsid w:val="B8F51AC4"/>
    <w:rsid w:val="B8FE95D6"/>
    <w:rsid w:val="B94E97DC"/>
    <w:rsid w:val="BB6F71C3"/>
    <w:rsid w:val="BBBBCEFA"/>
    <w:rsid w:val="BBDFBB91"/>
    <w:rsid w:val="BCCF031C"/>
    <w:rsid w:val="BDFF151A"/>
    <w:rsid w:val="BDFF7A74"/>
    <w:rsid w:val="BE4E0198"/>
    <w:rsid w:val="BE6F35CE"/>
    <w:rsid w:val="BE72D2A7"/>
    <w:rsid w:val="BE7BB8E5"/>
    <w:rsid w:val="BEDE4779"/>
    <w:rsid w:val="BEEF1BA7"/>
    <w:rsid w:val="BEFD9AE8"/>
    <w:rsid w:val="BF5F9121"/>
    <w:rsid w:val="BF6F62A7"/>
    <w:rsid w:val="BF74D1FA"/>
    <w:rsid w:val="BF7F5B5C"/>
    <w:rsid w:val="BF8FDB72"/>
    <w:rsid w:val="BFBE3382"/>
    <w:rsid w:val="BFBFFF37"/>
    <w:rsid w:val="BFD6FB6C"/>
    <w:rsid w:val="BFD76505"/>
    <w:rsid w:val="BFDD86F7"/>
    <w:rsid w:val="BFDFEE5C"/>
    <w:rsid w:val="BFEF2A21"/>
    <w:rsid w:val="BFEFCBE8"/>
    <w:rsid w:val="BFF51D5A"/>
    <w:rsid w:val="BFF5A23B"/>
    <w:rsid w:val="BFF7F039"/>
    <w:rsid w:val="BFFD68FE"/>
    <w:rsid w:val="BFFD9033"/>
    <w:rsid w:val="BFFDE173"/>
    <w:rsid w:val="BFFEE824"/>
    <w:rsid w:val="BFFFE3B5"/>
    <w:rsid w:val="C16DF057"/>
    <w:rsid w:val="C3195A40"/>
    <w:rsid w:val="C7B2D338"/>
    <w:rsid w:val="C9A7020A"/>
    <w:rsid w:val="CB5F875C"/>
    <w:rsid w:val="CBDFBC94"/>
    <w:rsid w:val="CCD949E8"/>
    <w:rsid w:val="CCFE2BA2"/>
    <w:rsid w:val="CDBAD40A"/>
    <w:rsid w:val="CEDFAC7F"/>
    <w:rsid w:val="CEEE0E2F"/>
    <w:rsid w:val="CF1B1F2D"/>
    <w:rsid w:val="CFEB5B44"/>
    <w:rsid w:val="CFF7E2E5"/>
    <w:rsid w:val="CFF9DC0C"/>
    <w:rsid w:val="CFFF852A"/>
    <w:rsid w:val="CFFFB016"/>
    <w:rsid w:val="D3F71D91"/>
    <w:rsid w:val="D4D1E4A2"/>
    <w:rsid w:val="D5B69AF4"/>
    <w:rsid w:val="D67FC440"/>
    <w:rsid w:val="D6F7565C"/>
    <w:rsid w:val="D75E73E9"/>
    <w:rsid w:val="D7666267"/>
    <w:rsid w:val="D775E49E"/>
    <w:rsid w:val="D79EE54A"/>
    <w:rsid w:val="D7DB3411"/>
    <w:rsid w:val="D7DFA141"/>
    <w:rsid w:val="D7FFC0D6"/>
    <w:rsid w:val="D8DD8AE8"/>
    <w:rsid w:val="DB79EB2B"/>
    <w:rsid w:val="DB9B56A4"/>
    <w:rsid w:val="DBB51910"/>
    <w:rsid w:val="DBCB64A2"/>
    <w:rsid w:val="DBEFAEB8"/>
    <w:rsid w:val="DBF03558"/>
    <w:rsid w:val="DBFA6D52"/>
    <w:rsid w:val="DBFB2A1B"/>
    <w:rsid w:val="DC3739FA"/>
    <w:rsid w:val="DD17CB57"/>
    <w:rsid w:val="DDCBA26D"/>
    <w:rsid w:val="DDF73462"/>
    <w:rsid w:val="DDF9165D"/>
    <w:rsid w:val="DDF9B34E"/>
    <w:rsid w:val="DDFF4FDA"/>
    <w:rsid w:val="DEDCAD97"/>
    <w:rsid w:val="DEDFCAB4"/>
    <w:rsid w:val="DEEBC056"/>
    <w:rsid w:val="DEF6A4DC"/>
    <w:rsid w:val="DEFF8442"/>
    <w:rsid w:val="DF3ACA57"/>
    <w:rsid w:val="DF3F3A5F"/>
    <w:rsid w:val="DF7A8F2D"/>
    <w:rsid w:val="DFA972DA"/>
    <w:rsid w:val="DFAA9076"/>
    <w:rsid w:val="DFB035F2"/>
    <w:rsid w:val="DFBC0FD4"/>
    <w:rsid w:val="DFBED5CF"/>
    <w:rsid w:val="DFDEB61F"/>
    <w:rsid w:val="DFEF6AAA"/>
    <w:rsid w:val="DFEF8106"/>
    <w:rsid w:val="DFF5BA30"/>
    <w:rsid w:val="DFF771A4"/>
    <w:rsid w:val="DFFF1378"/>
    <w:rsid w:val="DFFF162D"/>
    <w:rsid w:val="DFFF5483"/>
    <w:rsid w:val="E27732C3"/>
    <w:rsid w:val="E3FB9FAB"/>
    <w:rsid w:val="E579BE25"/>
    <w:rsid w:val="E7193509"/>
    <w:rsid w:val="E775954C"/>
    <w:rsid w:val="E7DC684D"/>
    <w:rsid w:val="E7DF1FAB"/>
    <w:rsid w:val="E7FD22F3"/>
    <w:rsid w:val="EA1C5EC7"/>
    <w:rsid w:val="EA712DA6"/>
    <w:rsid w:val="EA7F8A42"/>
    <w:rsid w:val="EB3DA255"/>
    <w:rsid w:val="EB7D3FF3"/>
    <w:rsid w:val="EBD7E893"/>
    <w:rsid w:val="EBFD7D3D"/>
    <w:rsid w:val="EC5BC7B1"/>
    <w:rsid w:val="EDE9EFC7"/>
    <w:rsid w:val="EDEB3C02"/>
    <w:rsid w:val="EDEF3739"/>
    <w:rsid w:val="EE797190"/>
    <w:rsid w:val="EEF6F1C8"/>
    <w:rsid w:val="EEFC8A9D"/>
    <w:rsid w:val="EF1D0C12"/>
    <w:rsid w:val="EF59C8FE"/>
    <w:rsid w:val="EF794C06"/>
    <w:rsid w:val="EF7D6F8B"/>
    <w:rsid w:val="EF7E6C82"/>
    <w:rsid w:val="EFBF81CA"/>
    <w:rsid w:val="EFD8AB0C"/>
    <w:rsid w:val="EFDF9CA9"/>
    <w:rsid w:val="EFDFA0B9"/>
    <w:rsid w:val="EFF4E74E"/>
    <w:rsid w:val="EFF51AE7"/>
    <w:rsid w:val="EFF70B27"/>
    <w:rsid w:val="EFF7B741"/>
    <w:rsid w:val="EFFB2F7B"/>
    <w:rsid w:val="EFFD9335"/>
    <w:rsid w:val="EFFE0144"/>
    <w:rsid w:val="EFFF334D"/>
    <w:rsid w:val="F13D2429"/>
    <w:rsid w:val="F2AD33D4"/>
    <w:rsid w:val="F35FBC74"/>
    <w:rsid w:val="F367F7B1"/>
    <w:rsid w:val="F37F1760"/>
    <w:rsid w:val="F397CCBF"/>
    <w:rsid w:val="F3BD0661"/>
    <w:rsid w:val="F3BD11EB"/>
    <w:rsid w:val="F3EB1456"/>
    <w:rsid w:val="F3EF0A98"/>
    <w:rsid w:val="F4CF7880"/>
    <w:rsid w:val="F5577A0F"/>
    <w:rsid w:val="F59E26D1"/>
    <w:rsid w:val="F5FB4507"/>
    <w:rsid w:val="F5FD16E4"/>
    <w:rsid w:val="F64D36C2"/>
    <w:rsid w:val="F6DFA1C4"/>
    <w:rsid w:val="F6EBB8AE"/>
    <w:rsid w:val="F6FFEC87"/>
    <w:rsid w:val="F707C779"/>
    <w:rsid w:val="F7775374"/>
    <w:rsid w:val="F77DCDF6"/>
    <w:rsid w:val="F7F2D4A9"/>
    <w:rsid w:val="F7F6D163"/>
    <w:rsid w:val="F7F72D3F"/>
    <w:rsid w:val="F7F7E432"/>
    <w:rsid w:val="F7FB7C1B"/>
    <w:rsid w:val="F7FB7EB7"/>
    <w:rsid w:val="F7FBA050"/>
    <w:rsid w:val="F7FE4DD9"/>
    <w:rsid w:val="F7FFC0EF"/>
    <w:rsid w:val="F8CFD63A"/>
    <w:rsid w:val="F91FDAC3"/>
    <w:rsid w:val="F99D8BBA"/>
    <w:rsid w:val="F99FCCA9"/>
    <w:rsid w:val="F9A7A764"/>
    <w:rsid w:val="F9BF41AC"/>
    <w:rsid w:val="F9E6C902"/>
    <w:rsid w:val="F9EF3894"/>
    <w:rsid w:val="F9FA439E"/>
    <w:rsid w:val="F9FEB9D1"/>
    <w:rsid w:val="FA3FA7C9"/>
    <w:rsid w:val="FA7D1DDD"/>
    <w:rsid w:val="FAED7325"/>
    <w:rsid w:val="FAF5810D"/>
    <w:rsid w:val="FAFB609F"/>
    <w:rsid w:val="FAFBBBFF"/>
    <w:rsid w:val="FB3B353D"/>
    <w:rsid w:val="FB3FEDC3"/>
    <w:rsid w:val="FB6CB81C"/>
    <w:rsid w:val="FB7532F2"/>
    <w:rsid w:val="FB7588E0"/>
    <w:rsid w:val="FB775693"/>
    <w:rsid w:val="FB7B7EF7"/>
    <w:rsid w:val="FB7B947F"/>
    <w:rsid w:val="FB7DA72A"/>
    <w:rsid w:val="FB9FE535"/>
    <w:rsid w:val="FB9FFAE0"/>
    <w:rsid w:val="FBAF08DC"/>
    <w:rsid w:val="FBB710FC"/>
    <w:rsid w:val="FBBE1885"/>
    <w:rsid w:val="FBBF0222"/>
    <w:rsid w:val="FBF58EB9"/>
    <w:rsid w:val="FBFFBB1C"/>
    <w:rsid w:val="FBFFD7DF"/>
    <w:rsid w:val="FBFFE89E"/>
    <w:rsid w:val="FBFFFE91"/>
    <w:rsid w:val="FC54F41B"/>
    <w:rsid w:val="FC799DEE"/>
    <w:rsid w:val="FC7A39C6"/>
    <w:rsid w:val="FCB765A4"/>
    <w:rsid w:val="FCBD3FC1"/>
    <w:rsid w:val="FCBF3F32"/>
    <w:rsid w:val="FCD524FB"/>
    <w:rsid w:val="FCDF088F"/>
    <w:rsid w:val="FCF73B8F"/>
    <w:rsid w:val="FCFE16F3"/>
    <w:rsid w:val="FCFEEF4F"/>
    <w:rsid w:val="FD3E25D8"/>
    <w:rsid w:val="FD5DDC5A"/>
    <w:rsid w:val="FD797460"/>
    <w:rsid w:val="FD7CADD9"/>
    <w:rsid w:val="FD7F4CC5"/>
    <w:rsid w:val="FD8186AE"/>
    <w:rsid w:val="FDB64C47"/>
    <w:rsid w:val="FDBB2C2E"/>
    <w:rsid w:val="FDDD8A5A"/>
    <w:rsid w:val="FDDFF578"/>
    <w:rsid w:val="FDFD7814"/>
    <w:rsid w:val="FE2D3ABB"/>
    <w:rsid w:val="FE3BB1FE"/>
    <w:rsid w:val="FE9E429D"/>
    <w:rsid w:val="FEB66D7A"/>
    <w:rsid w:val="FEB715E4"/>
    <w:rsid w:val="FEB7F217"/>
    <w:rsid w:val="FEBFF695"/>
    <w:rsid w:val="FED42772"/>
    <w:rsid w:val="FEEA3C46"/>
    <w:rsid w:val="FEEFB5A2"/>
    <w:rsid w:val="FEFF2652"/>
    <w:rsid w:val="FEFF705F"/>
    <w:rsid w:val="FEFF853A"/>
    <w:rsid w:val="FF1311BA"/>
    <w:rsid w:val="FF173E49"/>
    <w:rsid w:val="FF1BA559"/>
    <w:rsid w:val="FF2D36EF"/>
    <w:rsid w:val="FF3FEBBC"/>
    <w:rsid w:val="FF579E0E"/>
    <w:rsid w:val="FF5F54B5"/>
    <w:rsid w:val="FF5F81FE"/>
    <w:rsid w:val="FF67159E"/>
    <w:rsid w:val="FF6F030D"/>
    <w:rsid w:val="FF73F903"/>
    <w:rsid w:val="FF7BF34A"/>
    <w:rsid w:val="FF7D1F07"/>
    <w:rsid w:val="FF7DAF22"/>
    <w:rsid w:val="FF7E9E32"/>
    <w:rsid w:val="FF7EAE74"/>
    <w:rsid w:val="FF8D0A79"/>
    <w:rsid w:val="FFAFF7A1"/>
    <w:rsid w:val="FFB7BC81"/>
    <w:rsid w:val="FFBAE253"/>
    <w:rsid w:val="FFBD9041"/>
    <w:rsid w:val="FFBE4D2F"/>
    <w:rsid w:val="FFBFB59B"/>
    <w:rsid w:val="FFD722FC"/>
    <w:rsid w:val="FFD7E77E"/>
    <w:rsid w:val="FFD7FEF0"/>
    <w:rsid w:val="FFD87784"/>
    <w:rsid w:val="FFD9D23A"/>
    <w:rsid w:val="FFDFB28D"/>
    <w:rsid w:val="FFE28593"/>
    <w:rsid w:val="FFEEB169"/>
    <w:rsid w:val="FFEEF79C"/>
    <w:rsid w:val="FFEF5FE3"/>
    <w:rsid w:val="FFF642F6"/>
    <w:rsid w:val="FFF7023B"/>
    <w:rsid w:val="FFF767B9"/>
    <w:rsid w:val="FFF788E1"/>
    <w:rsid w:val="FFF7EFF0"/>
    <w:rsid w:val="FFFB1A7B"/>
    <w:rsid w:val="FFFC5234"/>
    <w:rsid w:val="FFFE3EF4"/>
    <w:rsid w:val="FFFE8010"/>
    <w:rsid w:val="FFFF098D"/>
    <w:rsid w:val="FFFF3958"/>
    <w:rsid w:val="FFFFB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FangSong" w:hAnsi="FangSong"/>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884</Words>
  <Characters>5040</Characters>
  <Lines>42</Lines>
  <Paragraphs>11</Paragraphs>
  <TotalTime>4</TotalTime>
  <ScaleCrop>false</ScaleCrop>
  <LinksUpToDate>false</LinksUpToDate>
  <CharactersWithSpaces>5913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2020-12-30T10:48:00Z</dcterms:created>
  <dc:creator>张恒zh</dc:creator>
  <cp:lastModifiedBy>gaoduo</cp:lastModifiedBy>
  <cp:lastPrinted>2020-02-05T15:10:00Z</cp:lastPrinted>
  <dcterms:modified xsi:type="dcterms:W3CDTF">2024-03-21T19:01:26Z</dcterms:modified>
  <dc:title>北证办发〔2023〕X号附件1</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