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p>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r>
        <w:rPr>
          <w:rFonts w:hint="eastAsia" w:ascii="方正大标宋简体" w:eastAsia="方正大标宋简体" w:cs="Times New Roman"/>
          <w:color w:val="000000" w:themeColor="text1"/>
          <w:sz w:val="36"/>
          <w14:textFill>
            <w14:solidFill>
              <w14:schemeClr w14:val="tx1"/>
            </w14:solidFill>
          </w14:textFill>
        </w:rPr>
        <w:t>工程技术文档</w:t>
      </w: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北京证券交易所</w:t>
      </w:r>
      <w:r>
        <w:rPr>
          <w:rFonts w:hint="eastAsia" w:ascii="方正大标宋简体" w:eastAsia="方正大标宋简体" w:cs="Times New Roman"/>
          <w:color w:val="000000" w:themeColor="text1"/>
          <w:sz w:val="42"/>
          <w:szCs w:val="42"/>
          <w:lang w:eastAsia="zh-CN"/>
          <w14:textFill>
            <w14:solidFill>
              <w14:schemeClr w14:val="tx1"/>
            </w14:solidFill>
          </w14:textFill>
        </w:rPr>
        <w:t>做市交易</w:t>
      </w:r>
      <w:r>
        <w:rPr>
          <w:rFonts w:hint="eastAsia" w:ascii="方正大标宋简体" w:eastAsia="方正大标宋简体" w:cs="Times New Roman"/>
          <w:color w:val="000000" w:themeColor="text1"/>
          <w:sz w:val="42"/>
          <w:szCs w:val="42"/>
          <w14:textFill>
            <w14:solidFill>
              <w14:schemeClr w14:val="tx1"/>
            </w14:solidFill>
          </w14:textFill>
        </w:rPr>
        <w:t>业务</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方正大标宋简体" w:eastAsia="方正大标宋简体" w:cs="Times New Roman"/>
          <w:color w:val="000000" w:themeColor="text1"/>
          <w:sz w:val="32"/>
          <w:lang w:eastAsia="zh-CN"/>
          <w14:textFill>
            <w14:solidFill>
              <w14:schemeClr w14:val="tx1"/>
            </w14:solidFill>
          </w14:textFill>
        </w:rPr>
        <w:t>三</w:t>
      </w:r>
      <w:r>
        <w:rPr>
          <w:rFonts w:hint="eastAsia" w:ascii="方正大标宋简体" w:eastAsia="方正大标宋简体" w:cs="Times New Roman"/>
          <w:color w:val="000000" w:themeColor="text1"/>
          <w:sz w:val="32"/>
          <w14:textFill>
            <w14:solidFill>
              <w14:schemeClr w14:val="tx1"/>
            </w14:solidFill>
          </w14:textFill>
        </w:rPr>
        <w:t>年二月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北京证券交易所</w:t>
            </w:r>
            <w:r>
              <w:rPr>
                <w:rFonts w:hint="eastAsia" w:ascii="Times New Roman" w:hAnsi="Times New Roman" w:eastAsia="方正仿宋简体"/>
                <w:color w:val="000000" w:themeColor="text1"/>
                <w:szCs w:val="24"/>
                <w:lang w:eastAsia="zh-CN"/>
                <w14:textFill>
                  <w14:solidFill>
                    <w14:schemeClr w14:val="tx1"/>
                  </w14:solidFill>
                </w14:textFill>
              </w:rPr>
              <w:t>做市交易</w:t>
            </w:r>
            <w:r>
              <w:rPr>
                <w:rFonts w:hint="eastAsia" w:ascii="Times New Roman" w:hAnsi="Times New Roman" w:eastAsia="方正仿宋简体"/>
                <w:color w:val="000000" w:themeColor="text1"/>
                <w:szCs w:val="24"/>
                <w14:textFill>
                  <w14:solidFill>
                    <w14:schemeClr w14:val="tx1"/>
                  </w14:solidFill>
                </w14:textFill>
              </w:rPr>
              <w:t>业务通关测试方案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hint="eastAsia" w:ascii="Times New Roman" w:hAnsi="Times New Roman" w:eastAsia="方正仿宋简体"/>
                <w:color w:val="000000" w:themeColor="text1"/>
                <w:szCs w:val="24"/>
                <w:lang w:val="en-US" w:eastAsia="zh-CN"/>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lang w:val="en-US" w:eastAsia="zh-CN"/>
                <w14:textFill>
                  <w14:solidFill>
                    <w14:schemeClr w14:val="tx1"/>
                  </w14:solidFill>
                </w14:textFill>
              </w:rPr>
              <w:t>3</w:t>
            </w:r>
            <w:r>
              <w:rPr>
                <w:rFonts w:ascii="Times New Roman" w:hAnsi="Times New Roman" w:eastAsia="方正仿宋简体"/>
                <w:color w:val="000000" w:themeColor="text1"/>
                <w:szCs w:val="24"/>
                <w14:textFill>
                  <w14:solidFill>
                    <w14:schemeClr w14:val="tx1"/>
                  </w14:solidFill>
                </w14:textFill>
              </w:rPr>
              <w:t>.2.</w:t>
            </w:r>
            <w:r>
              <w:rPr>
                <w:rFonts w:hint="eastAsia" w:ascii="Times New Roman" w:hAnsi="Times New Roman" w:eastAsia="方正仿宋简体"/>
                <w:color w:val="000000" w:themeColor="text1"/>
                <w:szCs w:val="24"/>
                <w:lang w:val="en-US" w:eastAsia="zh-CN"/>
                <w14:textFill>
                  <w14:solidFill>
                    <w14:schemeClr w14:val="tx1"/>
                  </w14:solidFill>
                </w14:textFill>
              </w:rPr>
              <w:t>1</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306"/>
        </w:tabs>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_Toc1007685119 </w:instrText>
      </w:r>
      <w:r>
        <w:fldChar w:fldCharType="separate"/>
      </w:r>
      <w:r>
        <w:t>一</w:t>
      </w:r>
      <w:r>
        <w:rPr>
          <w:rFonts w:hint="eastAsia"/>
        </w:rPr>
        <w:t>、</w:t>
      </w:r>
      <w:r>
        <w:t>测试目的和背景</w:t>
      </w:r>
      <w:r>
        <w:tab/>
      </w:r>
      <w:r>
        <w:fldChar w:fldCharType="begin"/>
      </w:r>
      <w:r>
        <w:instrText xml:space="preserve"> PAGEREF _Toc1007685119 </w:instrText>
      </w:r>
      <w:r>
        <w:fldChar w:fldCharType="separate"/>
      </w:r>
      <w:r>
        <w:t>- 4 -</w:t>
      </w:r>
      <w:r>
        <w:fldChar w:fldCharType="end"/>
      </w:r>
      <w: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_Toc1250148194 </w:instrText>
      </w:r>
      <w:r>
        <w:rPr>
          <w:rFonts w:eastAsia="方正仿宋简体"/>
        </w:rPr>
        <w:fldChar w:fldCharType="separate"/>
      </w:r>
      <w:r>
        <w:t>二</w:t>
      </w:r>
      <w:r>
        <w:rPr>
          <w:rFonts w:hint="eastAsia"/>
        </w:rPr>
        <w:t>、</w:t>
      </w:r>
      <w:r>
        <w:t>参测</w:t>
      </w:r>
      <w:r>
        <w:rPr>
          <w:rFonts w:hint="eastAsia"/>
        </w:rPr>
        <w:t>机构</w:t>
      </w:r>
      <w:r>
        <w:tab/>
      </w:r>
      <w:r>
        <w:fldChar w:fldCharType="begin"/>
      </w:r>
      <w:r>
        <w:instrText xml:space="preserve"> PAGEREF _Toc1250148194 </w:instrText>
      </w:r>
      <w:r>
        <w:fldChar w:fldCharType="separate"/>
      </w:r>
      <w:r>
        <w:t>- 4 -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_Toc288434672 </w:instrText>
      </w:r>
      <w:r>
        <w:rPr>
          <w:rFonts w:eastAsia="方正仿宋简体"/>
        </w:rPr>
        <w:fldChar w:fldCharType="separate"/>
      </w:r>
      <w:r>
        <w:t>三</w:t>
      </w:r>
      <w:r>
        <w:rPr>
          <w:rFonts w:hint="eastAsia"/>
        </w:rPr>
        <w:t>、</w:t>
      </w:r>
      <w:r>
        <w:t>参考技术规范</w:t>
      </w:r>
      <w:r>
        <w:tab/>
      </w:r>
      <w:r>
        <w:fldChar w:fldCharType="begin"/>
      </w:r>
      <w:r>
        <w:instrText xml:space="preserve"> PAGEREF _Toc288434672 </w:instrText>
      </w:r>
      <w:r>
        <w:fldChar w:fldCharType="separate"/>
      </w:r>
      <w:r>
        <w:t>- 4 -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_Toc1652685379 </w:instrText>
      </w:r>
      <w:r>
        <w:rPr>
          <w:rFonts w:eastAsia="方正仿宋简体"/>
        </w:rPr>
        <w:fldChar w:fldCharType="separate"/>
      </w:r>
      <w:r>
        <w:t>四</w:t>
      </w:r>
      <w:r>
        <w:rPr>
          <w:rFonts w:hint="eastAsia"/>
        </w:rPr>
        <w:t>、</w:t>
      </w:r>
      <w:r>
        <w:t>参测技术系统</w:t>
      </w:r>
      <w:r>
        <w:tab/>
      </w:r>
      <w:r>
        <w:fldChar w:fldCharType="begin"/>
      </w:r>
      <w:r>
        <w:instrText xml:space="preserve"> PAGEREF _Toc1652685379 </w:instrText>
      </w:r>
      <w:r>
        <w:fldChar w:fldCharType="separate"/>
      </w:r>
      <w:r>
        <w:t>- 5 -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_Toc1849719453 </w:instrText>
      </w:r>
      <w:r>
        <w:rPr>
          <w:rFonts w:eastAsia="方正仿宋简体"/>
        </w:rPr>
        <w:fldChar w:fldCharType="separate"/>
      </w:r>
      <w:r>
        <w:t>五</w:t>
      </w:r>
      <w:r>
        <w:rPr>
          <w:rFonts w:hint="eastAsia"/>
        </w:rPr>
        <w:t>、</w:t>
      </w:r>
      <w:r>
        <w:t>测试时间安排</w:t>
      </w:r>
      <w:r>
        <w:tab/>
      </w:r>
      <w:r>
        <w:fldChar w:fldCharType="begin"/>
      </w:r>
      <w:r>
        <w:instrText xml:space="preserve"> PAGEREF _Toc1849719453 </w:instrText>
      </w:r>
      <w:r>
        <w:fldChar w:fldCharType="separate"/>
      </w:r>
      <w:r>
        <w:t>- 5 -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_Toc1734755377 </w:instrText>
      </w:r>
      <w:r>
        <w:rPr>
          <w:rFonts w:eastAsia="方正仿宋简体"/>
        </w:rPr>
        <w:fldChar w:fldCharType="separate"/>
      </w:r>
      <w:r>
        <w:rPr>
          <w:rFonts w:hint="eastAsia"/>
          <w:lang w:val="en-US"/>
        </w:rPr>
        <w:t xml:space="preserve">六、 </w:t>
      </w:r>
      <w:r>
        <w:t>测试内容</w:t>
      </w:r>
      <w:r>
        <w:tab/>
      </w:r>
      <w:r>
        <w:fldChar w:fldCharType="begin"/>
      </w:r>
      <w:r>
        <w:instrText xml:space="preserve"> PAGEREF _Toc1734755377 </w:instrText>
      </w:r>
      <w:r>
        <w:fldChar w:fldCharType="separate"/>
      </w:r>
      <w:r>
        <w:t>- 6 -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_Toc1230753658 </w:instrText>
      </w:r>
      <w:r>
        <w:rPr>
          <w:rFonts w:eastAsia="方正仿宋简体"/>
        </w:rPr>
        <w:fldChar w:fldCharType="separate"/>
      </w:r>
      <w:r>
        <w:rPr>
          <w:rFonts w:hint="eastAsia"/>
          <w:lang w:val="en-US"/>
        </w:rPr>
        <w:t xml:space="preserve">七、 </w:t>
      </w:r>
      <w:r>
        <w:t>测试场景及要求</w:t>
      </w:r>
      <w:r>
        <w:tab/>
      </w:r>
      <w:r>
        <w:fldChar w:fldCharType="begin"/>
      </w:r>
      <w:r>
        <w:instrText xml:space="preserve"> PAGEREF _Toc1230753658 </w:instrText>
      </w:r>
      <w:r>
        <w:fldChar w:fldCharType="separate"/>
      </w:r>
      <w:r>
        <w:t>- 7 -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_Toc669755268 </w:instrText>
      </w:r>
      <w:r>
        <w:rPr>
          <w:rFonts w:eastAsia="方正仿宋简体"/>
        </w:rPr>
        <w:fldChar w:fldCharType="separate"/>
      </w:r>
      <w:r>
        <w:rPr>
          <w:rFonts w:hint="eastAsia"/>
          <w:szCs w:val="30"/>
        </w:rPr>
        <w:t>（一） 测试场景</w:t>
      </w:r>
      <w:r>
        <w:tab/>
      </w:r>
      <w:r>
        <w:fldChar w:fldCharType="begin"/>
      </w:r>
      <w:r>
        <w:instrText xml:space="preserve"> PAGEREF _Toc669755268 </w:instrText>
      </w:r>
      <w:r>
        <w:fldChar w:fldCharType="separate"/>
      </w:r>
      <w:r>
        <w:t>- 7 -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_Toc963523137 </w:instrText>
      </w:r>
      <w:r>
        <w:rPr>
          <w:rFonts w:eastAsia="方正仿宋简体"/>
        </w:rPr>
        <w:fldChar w:fldCharType="separate"/>
      </w:r>
      <w:r>
        <w:rPr>
          <w:rFonts w:hint="eastAsia"/>
        </w:rPr>
        <w:t>（二）</w:t>
      </w:r>
      <w:r>
        <w:rPr>
          <w:rFonts w:hint="eastAsia"/>
          <w:szCs w:val="30"/>
        </w:rPr>
        <w:t>测试要求</w:t>
      </w:r>
      <w:r>
        <w:tab/>
      </w:r>
      <w:r>
        <w:fldChar w:fldCharType="begin"/>
      </w:r>
      <w:r>
        <w:instrText xml:space="preserve"> PAGEREF _Toc963523137 </w:instrText>
      </w:r>
      <w:r>
        <w:fldChar w:fldCharType="separate"/>
      </w:r>
      <w:r>
        <w:t>- 7 -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_Toc1884629298 </w:instrText>
      </w:r>
      <w:r>
        <w:rPr>
          <w:rFonts w:eastAsia="方正仿宋简体"/>
        </w:rPr>
        <w:fldChar w:fldCharType="separate"/>
      </w:r>
      <w:r>
        <w:rPr>
          <w:rFonts w:hint="eastAsia"/>
          <w:lang w:val="en-US"/>
        </w:rPr>
        <w:t xml:space="preserve">八、 </w:t>
      </w:r>
      <w:r>
        <w:t>测试数据准备</w:t>
      </w:r>
      <w:r>
        <w:tab/>
      </w:r>
      <w:r>
        <w:fldChar w:fldCharType="begin"/>
      </w:r>
      <w:r>
        <w:instrText xml:space="preserve"> PAGEREF _Toc1884629298 </w:instrText>
      </w:r>
      <w:r>
        <w:fldChar w:fldCharType="separate"/>
      </w:r>
      <w:r>
        <w:t>- 8 -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_Toc1040628177 </w:instrText>
      </w:r>
      <w:r>
        <w:rPr>
          <w:rFonts w:eastAsia="方正仿宋简体"/>
        </w:rPr>
        <w:fldChar w:fldCharType="separate"/>
      </w:r>
      <w:r>
        <w:rPr>
          <w:rFonts w:hint="eastAsia"/>
        </w:rPr>
        <w:t>（一）</w:t>
      </w:r>
      <w:r>
        <w:rPr>
          <w:szCs w:val="30"/>
        </w:rPr>
        <w:t>证券行情和证券信息</w:t>
      </w:r>
      <w:r>
        <w:tab/>
      </w:r>
      <w:r>
        <w:fldChar w:fldCharType="begin"/>
      </w:r>
      <w:r>
        <w:instrText xml:space="preserve"> PAGEREF _Toc1040628177 </w:instrText>
      </w:r>
      <w:r>
        <w:fldChar w:fldCharType="separate"/>
      </w:r>
      <w:r>
        <w:t>- 8 -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_Toc1416481536 </w:instrText>
      </w:r>
      <w:r>
        <w:rPr>
          <w:rFonts w:eastAsia="方正仿宋简体"/>
        </w:rPr>
        <w:fldChar w:fldCharType="separate"/>
      </w:r>
      <w:r>
        <w:rPr>
          <w:rFonts w:hint="eastAsia"/>
        </w:rPr>
        <w:t>（二）</w:t>
      </w:r>
      <w:r>
        <w:rPr>
          <w:szCs w:val="30"/>
        </w:rPr>
        <w:t>证券账户、交易单元、托管单元及持仓</w:t>
      </w:r>
      <w:r>
        <w:tab/>
      </w:r>
      <w:r>
        <w:fldChar w:fldCharType="begin"/>
      </w:r>
      <w:r>
        <w:instrText xml:space="preserve"> PAGEREF _Toc1416481536 </w:instrText>
      </w:r>
      <w:r>
        <w:fldChar w:fldCharType="separate"/>
      </w:r>
      <w:r>
        <w:t>- 8 -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_Toc1165071191 </w:instrText>
      </w:r>
      <w:r>
        <w:rPr>
          <w:rFonts w:eastAsia="方正仿宋简体"/>
        </w:rPr>
        <w:fldChar w:fldCharType="separate"/>
      </w:r>
      <w:r>
        <w:rPr>
          <w:rFonts w:hint="eastAsia"/>
        </w:rPr>
        <w:t>（三）</w:t>
      </w:r>
      <w:r>
        <w:rPr>
          <w:szCs w:val="30"/>
        </w:rPr>
        <w:t>交易网关、行情网关和结算网关</w:t>
      </w:r>
      <w:r>
        <w:tab/>
      </w:r>
      <w:r>
        <w:fldChar w:fldCharType="begin"/>
      </w:r>
      <w:r>
        <w:instrText xml:space="preserve"> PAGEREF _Toc1165071191 </w:instrText>
      </w:r>
      <w:r>
        <w:fldChar w:fldCharType="separate"/>
      </w:r>
      <w:r>
        <w:t>- 8 -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_Toc1251802860 </w:instrText>
      </w:r>
      <w:r>
        <w:rPr>
          <w:rFonts w:eastAsia="方正仿宋简体"/>
        </w:rPr>
        <w:fldChar w:fldCharType="separate"/>
      </w:r>
      <w:r>
        <w:rPr>
          <w:rFonts w:hint="eastAsia"/>
          <w:lang w:val="en-US"/>
        </w:rPr>
        <w:t xml:space="preserve">九、 </w:t>
      </w:r>
      <w:r>
        <w:t>测试系统接入方式</w:t>
      </w:r>
      <w:r>
        <w:tab/>
      </w:r>
      <w:r>
        <w:fldChar w:fldCharType="begin"/>
      </w:r>
      <w:r>
        <w:instrText xml:space="preserve"> PAGEREF _Toc1251802860 </w:instrText>
      </w:r>
      <w:r>
        <w:fldChar w:fldCharType="separate"/>
      </w:r>
      <w:r>
        <w:t>- 9 -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_Toc337938243 </w:instrText>
      </w:r>
      <w:r>
        <w:rPr>
          <w:rFonts w:eastAsia="方正仿宋简体"/>
        </w:rPr>
        <w:fldChar w:fldCharType="separate"/>
      </w:r>
      <w:r>
        <w:rPr>
          <w:rFonts w:hint="eastAsia"/>
        </w:rPr>
        <w:t>（一）</w:t>
      </w:r>
      <w:r>
        <w:rPr>
          <w:szCs w:val="30"/>
        </w:rPr>
        <w:t>参测</w:t>
      </w:r>
      <w:r>
        <w:rPr>
          <w:rFonts w:hint="eastAsia"/>
          <w:szCs w:val="30"/>
        </w:rPr>
        <w:t>机构</w:t>
      </w:r>
      <w:r>
        <w:rPr>
          <w:szCs w:val="30"/>
        </w:rPr>
        <w:t>接入深证通</w:t>
      </w:r>
      <w:r>
        <w:tab/>
      </w:r>
      <w:r>
        <w:fldChar w:fldCharType="begin"/>
      </w:r>
      <w:r>
        <w:instrText xml:space="preserve"> PAGEREF _Toc337938243 </w:instrText>
      </w:r>
      <w:r>
        <w:fldChar w:fldCharType="separate"/>
      </w:r>
      <w:r>
        <w:t>- 9 -</w:t>
      </w:r>
      <w:r>
        <w:fldChar w:fldCharType="end"/>
      </w:r>
      <w:r>
        <w:rPr>
          <w:rFonts w:eastAsia="方正仿宋简体"/>
        </w:rPr>
        <w:fldChar w:fldCharType="end"/>
      </w:r>
    </w:p>
    <w:p>
      <w:pPr>
        <w:pStyle w:val="31"/>
        <w:tabs>
          <w:tab w:val="right" w:leader="dot" w:pos="8306"/>
        </w:tabs>
      </w:pPr>
      <w:r>
        <w:rPr>
          <w:rFonts w:eastAsia="方正仿宋简体"/>
        </w:rPr>
        <w:fldChar w:fldCharType="begin"/>
      </w:r>
      <w:r>
        <w:rPr>
          <w:rFonts w:eastAsia="方正仿宋简体"/>
        </w:rPr>
        <w:instrText xml:space="preserve"> HYPERLINK \l _Toc1717367138 </w:instrText>
      </w:r>
      <w:r>
        <w:rPr>
          <w:rFonts w:eastAsia="方正仿宋简体"/>
        </w:rPr>
        <w:fldChar w:fldCharType="separate"/>
      </w:r>
      <w:r>
        <w:rPr>
          <w:rFonts w:hint="eastAsia"/>
        </w:rPr>
        <w:t>（二）</w:t>
      </w:r>
      <w:r>
        <w:rPr>
          <w:szCs w:val="30"/>
        </w:rPr>
        <w:t>参测</w:t>
      </w:r>
      <w:r>
        <w:rPr>
          <w:rFonts w:hint="eastAsia"/>
          <w:szCs w:val="30"/>
        </w:rPr>
        <w:t>机构</w:t>
      </w:r>
      <w:r>
        <w:rPr>
          <w:szCs w:val="30"/>
        </w:rPr>
        <w:t>接入</w:t>
      </w:r>
      <w:r>
        <w:rPr>
          <w:rFonts w:hint="eastAsia"/>
          <w:szCs w:val="30"/>
        </w:rPr>
        <w:t>中国结算</w:t>
      </w:r>
      <w:r>
        <w:tab/>
      </w:r>
      <w:r>
        <w:fldChar w:fldCharType="begin"/>
      </w:r>
      <w:r>
        <w:instrText xml:space="preserve"> PAGEREF _Toc1717367138 </w:instrText>
      </w:r>
      <w:r>
        <w:fldChar w:fldCharType="separate"/>
      </w:r>
      <w:r>
        <w:t>- 9 -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_Toc932162662 </w:instrText>
      </w:r>
      <w:r>
        <w:rPr>
          <w:rFonts w:eastAsia="方正仿宋简体"/>
        </w:rPr>
        <w:fldChar w:fldCharType="separate"/>
      </w:r>
      <w:r>
        <w:rPr>
          <w:rFonts w:hint="eastAsia"/>
        </w:rPr>
        <w:t>十、</w:t>
      </w:r>
      <w:r>
        <w:t>测试要求及注意事项</w:t>
      </w:r>
      <w:r>
        <w:tab/>
      </w:r>
      <w:r>
        <w:fldChar w:fldCharType="begin"/>
      </w:r>
      <w:r>
        <w:instrText xml:space="preserve"> PAGEREF _Toc932162662 </w:instrText>
      </w:r>
      <w:r>
        <w:fldChar w:fldCharType="separate"/>
      </w:r>
      <w:r>
        <w:t>- 9 -</w:t>
      </w:r>
      <w:r>
        <w:fldChar w:fldCharType="end"/>
      </w:r>
      <w:r>
        <w:rPr>
          <w:rFonts w:eastAsia="方正仿宋简体"/>
        </w:rPr>
        <w:fldChar w:fldCharType="end"/>
      </w:r>
    </w:p>
    <w:p>
      <w:pPr>
        <w:pStyle w:val="26"/>
        <w:tabs>
          <w:tab w:val="right" w:leader="dot" w:pos="8306"/>
        </w:tabs>
      </w:pPr>
      <w:r>
        <w:rPr>
          <w:rFonts w:eastAsia="方正仿宋简体"/>
        </w:rPr>
        <w:fldChar w:fldCharType="begin"/>
      </w:r>
      <w:r>
        <w:rPr>
          <w:rFonts w:eastAsia="方正仿宋简体"/>
        </w:rPr>
        <w:instrText xml:space="preserve"> HYPERLINK \l _Toc1655496716 </w:instrText>
      </w:r>
      <w:r>
        <w:rPr>
          <w:rFonts w:eastAsia="方正仿宋简体"/>
        </w:rPr>
        <w:fldChar w:fldCharType="separate"/>
      </w:r>
      <w:r>
        <w:t>十</w:t>
      </w:r>
      <w:r>
        <w:rPr>
          <w:rFonts w:hint="eastAsia"/>
        </w:rPr>
        <w:t>一、</w:t>
      </w:r>
      <w:r>
        <w:t>联系方式</w:t>
      </w:r>
      <w:r>
        <w:tab/>
      </w:r>
      <w:r>
        <w:fldChar w:fldCharType="begin"/>
      </w:r>
      <w:r>
        <w:instrText xml:space="preserve"> PAGEREF _Toc1655496716 </w:instrText>
      </w:r>
      <w:r>
        <w:fldChar w:fldCharType="separate"/>
      </w:r>
      <w:r>
        <w:t>- 10 -</w:t>
      </w:r>
      <w:r>
        <w:fldChar w:fldCharType="end"/>
      </w:r>
      <w:r>
        <w:rPr>
          <w:rFonts w:eastAsia="方正仿宋简体"/>
        </w:rP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4957903"/>
      <w:bookmarkStart w:id="2" w:name="_Toc374381845"/>
      <w:bookmarkStart w:id="3" w:name="_Toc376285219"/>
      <w:bookmarkStart w:id="4" w:name="_Toc1007685119"/>
      <w:bookmarkStart w:id="5" w:name="_Toc376597516"/>
      <w:bookmarkStart w:id="6" w:name="_Toc375070721"/>
      <w:bookmarkStart w:id="7" w:name="_Toc375557957"/>
      <w:bookmarkStart w:id="8" w:name="_Toc374381911"/>
      <w:bookmarkStart w:id="9"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为验证拟开展北京证券交易所</w:t>
      </w:r>
      <w:r>
        <w:rPr>
          <w:rFonts w:hint="eastAsia" w:cs="Times New Roman"/>
          <w:color w:val="000000" w:themeColor="text1"/>
          <w:sz w:val="30"/>
          <w:szCs w:val="30"/>
          <w:lang w:eastAsia="zh-CN"/>
          <w14:textFill>
            <w14:solidFill>
              <w14:schemeClr w14:val="tx1"/>
            </w14:solidFill>
          </w14:textFill>
        </w:rPr>
        <w:t>做市交易</w:t>
      </w:r>
      <w:r>
        <w:rPr>
          <w:rFonts w:hint="eastAsia" w:cs="Times New Roman"/>
          <w:color w:val="000000" w:themeColor="text1"/>
          <w:sz w:val="30"/>
          <w:szCs w:val="30"/>
          <w14:textFill>
            <w14:solidFill>
              <w14:schemeClr w14:val="tx1"/>
            </w14:solidFill>
          </w14:textFill>
        </w:rPr>
        <w:t>业务的</w:t>
      </w:r>
      <w:r>
        <w:rPr>
          <w:rFonts w:hint="eastAsia" w:cs="Times New Roman"/>
          <w:color w:val="000000" w:themeColor="text1"/>
          <w:sz w:val="30"/>
          <w:szCs w:val="30"/>
          <w:lang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等市场参与者技术系统的准备情况，北京证券交易所（以下简称“北交所”）、全国中小企业股份转让系统有限责任公司（以下简称“全国股转公司”）联合中国证券登记结算有限责任公司（以下简称“中国结算”）、深圳证券通信有限公司（以下简称“深证通”）共同搭建测试环境供市场进行通关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认真阅读本测试方案，在测试过程中按照要求进行充分测试。</w:t>
      </w:r>
    </w:p>
    <w:p>
      <w:pPr>
        <w:pStyle w:val="72"/>
        <w:spacing w:before="163" w:after="163"/>
        <w:ind w:firstLine="600"/>
      </w:pPr>
      <w:bookmarkStart w:id="10" w:name="_Toc376597517"/>
      <w:bookmarkStart w:id="11" w:name="_Toc374957904"/>
      <w:bookmarkStart w:id="12" w:name="_Toc375557958"/>
      <w:bookmarkStart w:id="13" w:name="_Toc374381846"/>
      <w:bookmarkStart w:id="14" w:name="_Toc375070722"/>
      <w:bookmarkStart w:id="15" w:name="_Toc374381912"/>
      <w:bookmarkStart w:id="16" w:name="_Toc376285220"/>
      <w:bookmarkStart w:id="17" w:name="_Toc1250148194"/>
      <w:r>
        <w:t>二</w:t>
      </w:r>
      <w:r>
        <w:rPr>
          <w:rFonts w:hint="eastAsia"/>
        </w:rPr>
        <w:t>、</w:t>
      </w:r>
      <w:r>
        <w:t>参测</w:t>
      </w:r>
      <w:bookmarkEnd w:id="10"/>
      <w:bookmarkEnd w:id="11"/>
      <w:bookmarkEnd w:id="12"/>
      <w:bookmarkEnd w:id="13"/>
      <w:bookmarkEnd w:id="14"/>
      <w:bookmarkEnd w:id="15"/>
      <w:bookmarkEnd w:id="16"/>
      <w:r>
        <w:rPr>
          <w:rFonts w:hint="eastAsia"/>
        </w:rPr>
        <w:t>机构</w:t>
      </w:r>
      <w:bookmarkEnd w:id="17"/>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eastAsia="zh-CN"/>
          <w14:textFill>
            <w14:solidFill>
              <w14:schemeClr w14:val="tx1"/>
            </w14:solidFill>
          </w14:textFill>
        </w:rPr>
        <w:t>证券公司</w:t>
      </w:r>
    </w:p>
    <w:p>
      <w:pPr>
        <w:pStyle w:val="100"/>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w:t>
      </w:r>
    </w:p>
    <w:p>
      <w:pPr>
        <w:pStyle w:val="72"/>
        <w:spacing w:before="163" w:after="163"/>
        <w:ind w:firstLine="600"/>
      </w:pPr>
      <w:bookmarkStart w:id="18" w:name="_Toc376285221"/>
      <w:bookmarkStart w:id="19" w:name="_Toc374381913"/>
      <w:bookmarkStart w:id="20" w:name="_Toc374957905"/>
      <w:bookmarkStart w:id="21" w:name="_Toc374381847"/>
      <w:bookmarkStart w:id="22" w:name="_Toc288434672"/>
      <w:bookmarkStart w:id="23" w:name="_Toc375557959"/>
      <w:bookmarkStart w:id="24" w:name="_Toc376597518"/>
      <w:bookmarkStart w:id="25" w:name="_Toc375070723"/>
      <w:r>
        <w:t>三</w:t>
      </w:r>
      <w:r>
        <w:rPr>
          <w:rFonts w:hint="eastAsia"/>
        </w:rPr>
        <w:t>、</w:t>
      </w:r>
      <w:r>
        <w:t>参考技术规范</w:t>
      </w:r>
      <w:bookmarkEnd w:id="18"/>
      <w:bookmarkEnd w:id="19"/>
      <w:bookmarkEnd w:id="20"/>
      <w:bookmarkEnd w:id="21"/>
      <w:bookmarkEnd w:id="22"/>
      <w:bookmarkEnd w:id="23"/>
      <w:bookmarkEnd w:id="24"/>
      <w:bookmarkEnd w:id="25"/>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w:t>
      </w:r>
      <w:r>
        <w:rPr>
          <w:rStyle w:val="104"/>
        </w:rPr>
        <w:t>交易支持平台数据接口规范</w:t>
      </w:r>
      <w:r>
        <w:rPr>
          <w:rStyle w:val="104"/>
          <w:rFonts w:hint="eastAsia"/>
          <w:lang w:eastAsia="zh-CN"/>
        </w:rPr>
        <w:t>（</w:t>
      </w:r>
      <w:r>
        <w:rPr>
          <w:rStyle w:val="105"/>
        </w:rPr>
        <w:t>V2.1</w:t>
      </w:r>
      <w:r>
        <w:rPr>
          <w:rStyle w:val="104"/>
          <w:rFonts w:hint="eastAsia"/>
          <w:lang w:eastAsia="zh-CN"/>
        </w:rPr>
        <w:t>）</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Style w:val="104"/>
        </w:rPr>
        <w:t>北京证券交易所市场参与者技术系统变更指南之</w:t>
      </w:r>
      <w:r>
        <w:rPr>
          <w:rStyle w:val="104"/>
          <w:rFonts w:hint="eastAsia"/>
          <w:lang w:eastAsia="zh-CN"/>
        </w:rPr>
        <w:t>做市交易</w:t>
      </w:r>
      <w:r>
        <w:rPr>
          <w:rStyle w:val="104"/>
        </w:rPr>
        <w:t>业务（</w:t>
      </w:r>
      <w:r>
        <w:rPr>
          <w:rStyle w:val="105"/>
        </w:rPr>
        <w:t>V1.</w:t>
      </w:r>
      <w:r>
        <w:rPr>
          <w:rStyle w:val="105"/>
          <w:rFonts w:hint="eastAsia"/>
          <w:lang w:val="en-US" w:eastAsia="zh-CN"/>
        </w:rPr>
        <w:t>0</w:t>
      </w:r>
      <w:r>
        <w:rPr>
          <w:rStyle w:val="104"/>
        </w:rPr>
        <w:t>）</w:t>
      </w:r>
      <w:r>
        <w:rPr>
          <w:rFonts w:hint="eastAsia" w:cs="Times New Roman"/>
          <w:color w:val="000000" w:themeColor="text1"/>
          <w:sz w:val="30"/>
          <w:szCs w:val="30"/>
          <w14:textFill>
            <w14:solidFill>
              <w14:schemeClr w14:val="tx1"/>
            </w14:solidFill>
          </w14:textFill>
        </w:rPr>
        <w:t>》</w:t>
      </w:r>
    </w:p>
    <w:p>
      <w:pPr>
        <w:pStyle w:val="72"/>
        <w:spacing w:before="163" w:after="163"/>
        <w:ind w:firstLine="600"/>
      </w:pPr>
      <w:bookmarkStart w:id="26" w:name="_Toc374381916"/>
      <w:bookmarkStart w:id="27" w:name="_Toc376597521"/>
      <w:bookmarkStart w:id="28" w:name="_Toc376285224"/>
      <w:bookmarkStart w:id="29" w:name="_Toc375070726"/>
      <w:bookmarkStart w:id="30" w:name="_Toc374957908"/>
      <w:bookmarkStart w:id="31" w:name="_Toc375557962"/>
      <w:bookmarkStart w:id="32" w:name="_Toc1652685379"/>
      <w:bookmarkStart w:id="33" w:name="_Toc374381850"/>
      <w:r>
        <w:t>四</w:t>
      </w:r>
      <w:r>
        <w:rPr>
          <w:rFonts w:hint="eastAsia"/>
        </w:rPr>
        <w:t>、</w:t>
      </w:r>
      <w:r>
        <w:t>参测技术系统</w:t>
      </w:r>
      <w:bookmarkEnd w:id="26"/>
      <w:bookmarkEnd w:id="27"/>
      <w:bookmarkEnd w:id="28"/>
      <w:bookmarkEnd w:id="29"/>
      <w:bookmarkEnd w:id="30"/>
      <w:bookmarkEnd w:id="31"/>
      <w:bookmarkEnd w:id="32"/>
      <w:bookmarkEnd w:id="33"/>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北交所和全国股转公司交易支持平台通关测试环境</w:t>
      </w:r>
    </w:p>
    <w:p>
      <w:pPr>
        <w:pStyle w:val="100"/>
        <w:spacing w:line="240" w:lineRule="auto"/>
        <w:ind w:left="3" w:firstLine="600"/>
        <w:jc w:val="both"/>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中国结算北京市场证券登记结算系统通关测试环境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深证通通信系统和深证通金融数据交换平台（FDEP）通关测试环境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hint="eastAsia" w:cs="Times New Roman"/>
          <w:color w:val="000000" w:themeColor="text1"/>
          <w:sz w:val="30"/>
          <w:szCs w:val="30"/>
          <w:lang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相关测试环境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5</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提供北交所行情服务的信息商相关测试环境</w:t>
      </w:r>
    </w:p>
    <w:p>
      <w:pPr>
        <w:pStyle w:val="72"/>
        <w:spacing w:before="163" w:after="163"/>
        <w:ind w:firstLine="600"/>
      </w:pPr>
      <w:bookmarkStart w:id="34" w:name="_Toc1849719453"/>
      <w:r>
        <w:t>五</w:t>
      </w:r>
      <w:r>
        <w:rPr>
          <w:rFonts w:hint="eastAsia"/>
        </w:rPr>
        <w:t>、</w:t>
      </w:r>
      <w:r>
        <w:t>测试时间安排</w:t>
      </w:r>
      <w:bookmarkEnd w:id="34"/>
    </w:p>
    <w:p>
      <w:pPr>
        <w:spacing w:line="36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eastAsia="zh-CN"/>
          <w14:textFill>
            <w14:solidFill>
              <w14:schemeClr w14:val="tx1"/>
            </w14:solidFill>
          </w14:textFill>
        </w:rPr>
        <w:t>通关</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lang w:eastAsia="zh-CN"/>
          <w14:textFill>
            <w14:solidFill>
              <w14:schemeClr w14:val="tx1"/>
            </w14:solidFill>
          </w14:textFill>
        </w:rPr>
        <w:t>日期</w:t>
      </w:r>
      <w:r>
        <w:rPr>
          <w:rFonts w:cs="Times New Roman"/>
          <w:color w:val="000000" w:themeColor="text1"/>
          <w:sz w:val="30"/>
          <w:szCs w:val="30"/>
          <w14:textFill>
            <w14:solidFill>
              <w14:schemeClr w14:val="tx1"/>
            </w14:solidFill>
          </w14:textFill>
        </w:rPr>
        <w:t>为20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lang w:val="en-US" w:eastAsia="zh-CN"/>
          <w14:textFill>
            <w14:solidFill>
              <w14:schemeClr w14:val="tx1"/>
            </w14:solidFill>
          </w14:textFill>
        </w:rPr>
        <w:t>2</w:t>
      </w:r>
      <w:r>
        <w:rPr>
          <w:rFonts w:hint="eastAsia" w:cs="Times New Roman"/>
          <w:color w:val="000000" w:themeColor="text1"/>
          <w:sz w:val="30"/>
          <w:szCs w:val="30"/>
          <w14:textFill>
            <w14:solidFill>
              <w14:schemeClr w14:val="tx1"/>
            </w14:solidFill>
          </w14:textFill>
        </w:rPr>
        <w:t>月1</w:t>
      </w:r>
      <w:r>
        <w:rPr>
          <w:rFonts w:hint="eastAsia" w:cs="Times New Roman"/>
          <w:color w:val="000000" w:themeColor="text1"/>
          <w:sz w:val="30"/>
          <w:szCs w:val="30"/>
          <w:lang w:val="en-US" w:eastAsia="zh-CN"/>
          <w14:textFill>
            <w14:solidFill>
              <w14:schemeClr w14:val="tx1"/>
            </w14:solidFill>
          </w14:textFill>
        </w:rPr>
        <w:t>8</w:t>
      </w:r>
      <w:r>
        <w:rPr>
          <w:rFonts w:hint="eastAsia" w:cs="Times New Roman"/>
          <w:color w:val="000000" w:themeColor="text1"/>
          <w:sz w:val="30"/>
          <w:szCs w:val="30"/>
          <w14:textFill>
            <w14:solidFill>
              <w14:schemeClr w14:val="tx1"/>
            </w14:solidFill>
          </w14:textFill>
        </w:rPr>
        <w:t>日</w:t>
      </w:r>
      <w:r>
        <w:rPr>
          <w:rFonts w:hint="eastAsia" w:cs="Times New Roman"/>
          <w:color w:val="000000" w:themeColor="text1"/>
          <w:sz w:val="30"/>
          <w:szCs w:val="30"/>
          <w:lang w:eastAsia="zh-CN"/>
          <w14:textFill>
            <w14:solidFill>
              <w14:schemeClr w14:val="tx1"/>
            </w14:solidFill>
          </w14:textFill>
        </w:rPr>
        <w:t>，</w:t>
      </w:r>
      <w:r>
        <w:rPr>
          <w:rFonts w:hint="eastAsia" w:cs="Times New Roman"/>
          <w:color w:val="000000" w:themeColor="text1"/>
          <w:sz w:val="30"/>
          <w:szCs w:val="30"/>
          <w14:textFill>
            <w14:solidFill>
              <w14:schemeClr w14:val="tx1"/>
            </w14:solidFill>
          </w14:textFill>
        </w:rPr>
        <w:t>测试模拟一个完整交易日</w:t>
      </w:r>
      <w:r>
        <w:rPr>
          <w:rFonts w:cs="Times New Roman"/>
          <w:color w:val="000000" w:themeColor="text1"/>
          <w:sz w:val="30"/>
          <w:szCs w:val="30"/>
          <w14:textFill>
            <w14:solidFill>
              <w14:schemeClr w14:val="tx1"/>
            </w14:solidFill>
          </w14:textFill>
        </w:rPr>
        <w:t>。</w:t>
      </w:r>
    </w:p>
    <w:tbl>
      <w:tblPr>
        <w:tblStyle w:val="3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38"/>
        <w:gridCol w:w="1275"/>
        <w:gridCol w:w="1418"/>
        <w:gridCol w:w="198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73" w:type="dxa"/>
            <w:vMerge w:val="restart"/>
            <w:shd w:val="clear" w:color="auto" w:fill="D0CECE" w:themeFill="background2" w:themeFillShade="E6"/>
            <w:vAlign w:val="center"/>
          </w:tcPr>
          <w:p>
            <w:pPr>
              <w:ind w:firstLine="0" w:firstLineChars="0"/>
              <w:jc w:val="center"/>
              <w:rPr>
                <w:rFonts w:hint="eastAsia" w:ascii="楷体" w:hAnsi="楷体" w:eastAsia="楷体"/>
                <w:b/>
                <w:szCs w:val="24"/>
              </w:rPr>
            </w:pPr>
            <w:r>
              <w:rPr>
                <w:rFonts w:hint="eastAsia" w:ascii="楷体" w:hAnsi="楷体" w:eastAsia="楷体"/>
                <w:b/>
                <w:szCs w:val="24"/>
              </w:rPr>
              <w:t>交易</w:t>
            </w:r>
          </w:p>
          <w:p>
            <w:pPr>
              <w:ind w:firstLine="0" w:firstLineChars="0"/>
              <w:jc w:val="center"/>
              <w:rPr>
                <w:rFonts w:ascii="楷体" w:hAnsi="楷体" w:eastAsia="楷体"/>
                <w:b/>
                <w:szCs w:val="24"/>
              </w:rPr>
            </w:pPr>
            <w:r>
              <w:rPr>
                <w:rFonts w:hint="eastAsia" w:ascii="楷体" w:hAnsi="楷体" w:eastAsia="楷体"/>
                <w:b/>
                <w:szCs w:val="24"/>
              </w:rPr>
              <w:t>时段</w:t>
            </w:r>
          </w:p>
        </w:tc>
        <w:tc>
          <w:tcPr>
            <w:tcW w:w="1338" w:type="dxa"/>
            <w:vMerge w:val="restart"/>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北交所竞价交易（做市交易）</w:t>
            </w:r>
          </w:p>
        </w:tc>
        <w:tc>
          <w:tcPr>
            <w:tcW w:w="2693"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新三板集合竞价</w:t>
            </w:r>
          </w:p>
        </w:tc>
        <w:tc>
          <w:tcPr>
            <w:tcW w:w="1984"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新三板做市交易</w:t>
            </w:r>
          </w:p>
        </w:tc>
        <w:tc>
          <w:tcPr>
            <w:tcW w:w="1418" w:type="dxa"/>
            <w:gridSpan w:val="2"/>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公开发行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73" w:type="dxa"/>
            <w:vMerge w:val="continue"/>
            <w:shd w:val="clear" w:color="auto" w:fill="D0CECE" w:themeFill="background2" w:themeFillShade="E6"/>
            <w:vAlign w:val="center"/>
          </w:tcPr>
          <w:p>
            <w:pPr>
              <w:ind w:firstLine="0" w:firstLineChars="0"/>
              <w:rPr>
                <w:rFonts w:ascii="仿宋_GB2312" w:hAnsi="仿宋" w:eastAsia="仿宋_GB2312"/>
                <w:sz w:val="28"/>
                <w:szCs w:val="28"/>
              </w:rPr>
            </w:pPr>
          </w:p>
        </w:tc>
        <w:tc>
          <w:tcPr>
            <w:tcW w:w="1338" w:type="dxa"/>
            <w:vMerge w:val="continue"/>
            <w:shd w:val="clear" w:color="auto" w:fill="D0CECE" w:themeFill="background2" w:themeFillShade="E6"/>
          </w:tcPr>
          <w:p>
            <w:pPr>
              <w:ind w:firstLine="0" w:firstLineChars="0"/>
              <w:jc w:val="both"/>
              <w:rPr>
                <w:rFonts w:ascii="仿宋_GB2312" w:hAnsi="仿宋" w:eastAsia="仿宋_GB2312"/>
                <w:sz w:val="28"/>
                <w:szCs w:val="28"/>
              </w:rPr>
            </w:pPr>
          </w:p>
        </w:tc>
        <w:tc>
          <w:tcPr>
            <w:tcW w:w="1275"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基础层</w:t>
            </w:r>
          </w:p>
        </w:tc>
        <w:tc>
          <w:tcPr>
            <w:tcW w:w="1418" w:type="dxa"/>
            <w:shd w:val="clear" w:color="auto" w:fill="D0CECE" w:themeFill="background2" w:themeFillShade="E6"/>
          </w:tcPr>
          <w:p>
            <w:pPr>
              <w:tabs>
                <w:tab w:val="left" w:pos="720"/>
              </w:tabs>
              <w:ind w:firstLine="0" w:firstLineChars="0"/>
              <w:jc w:val="center"/>
              <w:rPr>
                <w:rFonts w:ascii="楷体" w:hAnsi="楷体" w:eastAsia="楷体"/>
                <w:b/>
                <w:szCs w:val="24"/>
              </w:rPr>
            </w:pPr>
            <w:r>
              <w:rPr>
                <w:rFonts w:ascii="楷体" w:hAnsi="楷体" w:eastAsia="楷体"/>
                <w:b/>
                <w:szCs w:val="24"/>
              </w:rPr>
              <w:t>创新</w:t>
            </w:r>
            <w:r>
              <w:rPr>
                <w:rFonts w:hint="eastAsia" w:ascii="楷体" w:hAnsi="楷体" w:eastAsia="楷体"/>
                <w:b/>
                <w:szCs w:val="24"/>
              </w:rPr>
              <w:t>层</w:t>
            </w:r>
          </w:p>
        </w:tc>
        <w:tc>
          <w:tcPr>
            <w:tcW w:w="1984" w:type="dxa"/>
            <w:vMerge w:val="continue"/>
            <w:shd w:val="clear" w:color="auto" w:fill="D0CECE" w:themeFill="background2" w:themeFillShade="E6"/>
          </w:tcPr>
          <w:p>
            <w:pPr>
              <w:tabs>
                <w:tab w:val="left" w:pos="720"/>
              </w:tabs>
              <w:ind w:firstLine="0" w:firstLineChars="0"/>
              <w:jc w:val="both"/>
              <w:rPr>
                <w:rFonts w:ascii="仿宋_GB2312" w:hAnsi="仿宋" w:eastAsia="仿宋_GB2312"/>
                <w:sz w:val="28"/>
                <w:szCs w:val="28"/>
              </w:rPr>
            </w:pP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询价</w:t>
            </w:r>
          </w:p>
        </w:tc>
        <w:tc>
          <w:tcPr>
            <w:tcW w:w="709" w:type="dxa"/>
            <w:shd w:val="clear" w:color="auto" w:fill="D0CECE" w:themeFill="background2" w:themeFillShade="E6"/>
            <w:vAlign w:val="center"/>
          </w:tcPr>
          <w:p>
            <w:pPr>
              <w:tabs>
                <w:tab w:val="left" w:pos="720"/>
              </w:tabs>
              <w:ind w:firstLine="0" w:firstLineChars="0"/>
              <w:jc w:val="both"/>
              <w:rPr>
                <w:rFonts w:ascii="仿宋_GB2312" w:hAnsi="仿宋" w:eastAsia="仿宋_GB2312"/>
                <w:sz w:val="28"/>
                <w:szCs w:val="28"/>
              </w:rPr>
            </w:pPr>
            <w:r>
              <w:rPr>
                <w:rFonts w:hint="eastAsia" w:ascii="楷体" w:hAnsi="楷体" w:eastAsia="楷体"/>
                <w:b/>
                <w:szCs w:val="24"/>
              </w:rPr>
              <w:t>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08:30</w:t>
            </w:r>
          </w:p>
        </w:tc>
        <w:tc>
          <w:tcPr>
            <w:tcW w:w="7433" w:type="dxa"/>
            <w:gridSpan w:val="6"/>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09:15</w:t>
            </w:r>
          </w:p>
        </w:tc>
        <w:tc>
          <w:tcPr>
            <w:tcW w:w="6015" w:type="dxa"/>
            <w:gridSpan w:val="4"/>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开市、大宗交易收单</w:t>
            </w:r>
          </w:p>
        </w:tc>
        <w:tc>
          <w:tcPr>
            <w:tcW w:w="709"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询价申报</w:t>
            </w:r>
          </w:p>
        </w:tc>
        <w:tc>
          <w:tcPr>
            <w:tcW w:w="709"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09:25</w:t>
            </w:r>
          </w:p>
        </w:tc>
        <w:tc>
          <w:tcPr>
            <w:tcW w:w="1338"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开盘集合竞价</w:t>
            </w: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1418"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1984"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09:30</w:t>
            </w:r>
          </w:p>
        </w:tc>
        <w:tc>
          <w:tcPr>
            <w:tcW w:w="1338"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连续竞价</w:t>
            </w: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集合竞价</w:t>
            </w:r>
          </w:p>
        </w:tc>
        <w:tc>
          <w:tcPr>
            <w:tcW w:w="1418"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每10分钟一次集合竞价（含9:30）</w:t>
            </w:r>
          </w:p>
        </w:tc>
        <w:tc>
          <w:tcPr>
            <w:tcW w:w="1984"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做市商双向报价</w:t>
            </w: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10:30</w:t>
            </w:r>
          </w:p>
        </w:tc>
        <w:tc>
          <w:tcPr>
            <w:tcW w:w="133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集合竞价</w:t>
            </w:r>
          </w:p>
        </w:tc>
        <w:tc>
          <w:tcPr>
            <w:tcW w:w="141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984"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11:30</w:t>
            </w:r>
          </w:p>
        </w:tc>
        <w:tc>
          <w:tcPr>
            <w:tcW w:w="133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集合竞价</w:t>
            </w:r>
          </w:p>
        </w:tc>
        <w:tc>
          <w:tcPr>
            <w:tcW w:w="141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984"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11:30</w:t>
            </w:r>
          </w:p>
        </w:tc>
        <w:tc>
          <w:tcPr>
            <w:tcW w:w="7433" w:type="dxa"/>
            <w:gridSpan w:val="6"/>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中午休市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13:00</w:t>
            </w:r>
          </w:p>
        </w:tc>
        <w:tc>
          <w:tcPr>
            <w:tcW w:w="7433" w:type="dxa"/>
            <w:gridSpan w:val="6"/>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13:00</w:t>
            </w:r>
          </w:p>
        </w:tc>
        <w:tc>
          <w:tcPr>
            <w:tcW w:w="1338"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连续竞价</w:t>
            </w: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1418"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每10分钟一次集合竞价(不含13:00)</w:t>
            </w:r>
          </w:p>
        </w:tc>
        <w:tc>
          <w:tcPr>
            <w:tcW w:w="1984"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做市商双向报价</w:t>
            </w:r>
          </w:p>
        </w:tc>
        <w:tc>
          <w:tcPr>
            <w:tcW w:w="709"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询价申报</w:t>
            </w:r>
          </w:p>
        </w:tc>
        <w:tc>
          <w:tcPr>
            <w:tcW w:w="709" w:type="dxa"/>
            <w:vMerge w:val="restart"/>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申购申报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14:00</w:t>
            </w:r>
          </w:p>
        </w:tc>
        <w:tc>
          <w:tcPr>
            <w:tcW w:w="133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集合竞价</w:t>
            </w:r>
          </w:p>
        </w:tc>
        <w:tc>
          <w:tcPr>
            <w:tcW w:w="141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984"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14:57</w:t>
            </w:r>
          </w:p>
        </w:tc>
        <w:tc>
          <w:tcPr>
            <w:tcW w:w="133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c>
          <w:tcPr>
            <w:tcW w:w="141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984"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15:00</w:t>
            </w:r>
          </w:p>
        </w:tc>
        <w:tc>
          <w:tcPr>
            <w:tcW w:w="1338"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收盘集合竞价</w:t>
            </w:r>
          </w:p>
        </w:tc>
        <w:tc>
          <w:tcPr>
            <w:tcW w:w="1275"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集合竞价</w:t>
            </w:r>
          </w:p>
        </w:tc>
        <w:tc>
          <w:tcPr>
            <w:tcW w:w="1418"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1984" w:type="dxa"/>
            <w:vMerge w:val="continue"/>
            <w:vAlign w:val="center"/>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c>
          <w:tcPr>
            <w:tcW w:w="709" w:type="dxa"/>
            <w:vMerge w:val="continue"/>
          </w:tcPr>
          <w:p>
            <w:pPr>
              <w:ind w:firstLine="0" w:firstLineChars="0"/>
              <w:jc w:val="center"/>
              <w:rPr>
                <w:rFonts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15:00-15:30</w:t>
            </w:r>
          </w:p>
        </w:tc>
        <w:tc>
          <w:tcPr>
            <w:tcW w:w="4031" w:type="dxa"/>
            <w:gridSpan w:val="3"/>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大宗交易</w:t>
            </w:r>
          </w:p>
        </w:tc>
        <w:tc>
          <w:tcPr>
            <w:tcW w:w="1984"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大宗交易、做市商互报实时确认</w:t>
            </w:r>
          </w:p>
        </w:tc>
        <w:tc>
          <w:tcPr>
            <w:tcW w:w="1418" w:type="dxa"/>
            <w:gridSpan w:val="2"/>
            <w:tcBorders>
              <w:tl2br w:val="nil"/>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073"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15:30</w:t>
            </w:r>
          </w:p>
        </w:tc>
        <w:tc>
          <w:tcPr>
            <w:tcW w:w="7433" w:type="dxa"/>
            <w:gridSpan w:val="6"/>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闭市</w:t>
            </w:r>
          </w:p>
        </w:tc>
      </w:tr>
    </w:tbl>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5"/>
        </w:numPr>
        <w:spacing w:before="163" w:after="163"/>
        <w:ind w:firstLine="600"/>
      </w:pPr>
      <w:bookmarkStart w:id="35" w:name="_Toc1734755377"/>
      <w:bookmarkStart w:id="36" w:name="_Toc376597522"/>
      <w:r>
        <w:t>测试内容</w:t>
      </w:r>
      <w:bookmarkEnd w:id="35"/>
      <w:bookmarkEnd w:id="36"/>
    </w:p>
    <w:p>
      <w:pPr>
        <w:spacing w:line="600" w:lineRule="exact"/>
        <w:ind w:firstLine="640" w:firstLineChars="200"/>
        <w:rPr>
          <w:rFonts w:cs="Times New Roman"/>
          <w:color w:val="000000" w:themeColor="text1"/>
          <w:sz w:val="30"/>
          <w:szCs w:val="30"/>
          <w14:textFill>
            <w14:solidFill>
              <w14:schemeClr w14:val="tx1"/>
            </w14:solidFill>
          </w14:textFill>
        </w:rPr>
      </w:pPr>
      <w:r>
        <w:rPr>
          <w:rFonts w:hint="eastAsia" w:ascii="Times New Roman" w:hAnsi="Times New Roman" w:eastAsia="仿宋" w:cs="Times New Roman"/>
          <w:sz w:val="32"/>
          <w:szCs w:val="32"/>
        </w:rPr>
        <w:t>验证各拟开展做市交易业务的</w:t>
      </w:r>
      <w:r>
        <w:rPr>
          <w:rFonts w:hint="eastAsia" w:ascii="Times New Roman" w:hAnsi="Times New Roman" w:eastAsia="仿宋" w:cs="Times New Roman"/>
          <w:sz w:val="32"/>
          <w:szCs w:val="32"/>
          <w:lang w:eastAsia="zh-CN"/>
        </w:rPr>
        <w:t>证券公司</w:t>
      </w:r>
      <w:r>
        <w:rPr>
          <w:rFonts w:hint="eastAsia" w:ascii="Times New Roman" w:hAnsi="Times New Roman" w:eastAsia="仿宋" w:cs="Times New Roman"/>
          <w:sz w:val="32"/>
          <w:szCs w:val="32"/>
        </w:rPr>
        <w:t>技术系统已按照《交易支持平台数据接口规范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V2.1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》《北京证券交易所市场参与者技术系统变更指南之</w:t>
      </w:r>
      <w:r>
        <w:rPr>
          <w:rFonts w:hint="eastAsia" w:ascii="Times New Roman" w:hAnsi="Times New Roman" w:eastAsia="仿宋" w:cs="Times New Roman"/>
          <w:sz w:val="32"/>
          <w:szCs w:val="32"/>
          <w:lang w:eastAsia="zh-CN"/>
        </w:rPr>
        <w:t>做市交易</w:t>
      </w:r>
      <w:r>
        <w:rPr>
          <w:rFonts w:hint="eastAsia" w:ascii="Times New Roman" w:hAnsi="Times New Roman" w:eastAsia="仿宋" w:cs="Times New Roman"/>
          <w:sz w:val="32"/>
          <w:szCs w:val="32"/>
        </w:rPr>
        <w:t>业务（V1.</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）》等技术规范的要求对</w:t>
      </w:r>
      <w:r>
        <w:rPr>
          <w:rFonts w:hint="eastAsia" w:ascii="Times New Roman" w:hAnsi="Times New Roman" w:eastAsia="仿宋" w:cs="Times New Roman"/>
          <w:sz w:val="32"/>
          <w:szCs w:val="32"/>
          <w:lang w:eastAsia="zh-CN"/>
        </w:rPr>
        <w:t>做市交易</w:t>
      </w:r>
      <w:r>
        <w:rPr>
          <w:rFonts w:hint="eastAsia" w:ascii="Times New Roman" w:hAnsi="Times New Roman" w:eastAsia="仿宋" w:cs="Times New Roman"/>
          <w:sz w:val="32"/>
          <w:szCs w:val="32"/>
        </w:rPr>
        <w:t>业务进行改造，达到上线要求。验证</w:t>
      </w:r>
      <w:r>
        <w:rPr>
          <w:rFonts w:hint="eastAsia" w:ascii="Times New Roman" w:hAnsi="Times New Roman" w:eastAsia="仿宋" w:cs="Times New Roman"/>
          <w:sz w:val="32"/>
          <w:szCs w:val="32"/>
          <w:lang w:eastAsia="zh-CN"/>
        </w:rPr>
        <w:t>各参测机构</w:t>
      </w:r>
      <w:r>
        <w:rPr>
          <w:rFonts w:hint="eastAsia" w:ascii="Times New Roman" w:hAnsi="Times New Roman" w:eastAsia="仿宋" w:cs="Times New Roman"/>
          <w:sz w:val="32"/>
          <w:szCs w:val="32"/>
        </w:rPr>
        <w:t>现有各项交易业务运行正常</w:t>
      </w:r>
      <w:r>
        <w:rPr>
          <w:rFonts w:hint="eastAsia" w:ascii="Times New Roman" w:hAnsi="Times New Roman" w:eastAsia="仿宋" w:cs="Times New Roman"/>
          <w:sz w:val="32"/>
          <w:szCs w:val="32"/>
          <w:lang w:eastAsia="zh-CN"/>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w:t>
      </w:r>
      <w:r>
        <w:rPr>
          <w:rFonts w:hint="default"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14:textFill>
            <w14:solidFill>
              <w14:schemeClr w14:val="tx1"/>
            </w14:solidFill>
          </w14:textFill>
        </w:rPr>
        <w:t>北交所交易支持平台</w:t>
      </w:r>
      <w:r>
        <w:rPr>
          <w:rFonts w:cs="Times New Roman"/>
          <w:color w:val="000000" w:themeColor="text1"/>
          <w:sz w:val="30"/>
          <w:szCs w:val="30"/>
          <w14:textFill>
            <w14:solidFill>
              <w14:schemeClr w14:val="tx1"/>
            </w14:solidFill>
          </w14:textFill>
        </w:rPr>
        <w:t>能够正确对</w:t>
      </w:r>
      <w:r>
        <w:rPr>
          <w:rFonts w:hint="eastAsia" w:cs="Times New Roman"/>
          <w:color w:val="000000" w:themeColor="text1"/>
          <w:sz w:val="30"/>
          <w:szCs w:val="30"/>
          <w14:textFill>
            <w14:solidFill>
              <w14:schemeClr w14:val="tx1"/>
            </w14:solidFill>
          </w14:textFill>
        </w:rPr>
        <w:t>做市交易业务各类</w:t>
      </w:r>
      <w:r>
        <w:rPr>
          <w:rFonts w:cs="Times New Roman"/>
          <w:color w:val="000000" w:themeColor="text1"/>
          <w:sz w:val="30"/>
          <w:szCs w:val="30"/>
          <w14:textFill>
            <w14:solidFill>
              <w14:schemeClr w14:val="tx1"/>
            </w14:solidFill>
          </w14:textFill>
        </w:rPr>
        <w:t>申报进行检查</w:t>
      </w:r>
      <w:r>
        <w:rPr>
          <w:rFonts w:hint="eastAsia" w:cs="Times New Roman"/>
          <w:color w:val="000000" w:themeColor="text1"/>
          <w:sz w:val="30"/>
          <w:szCs w:val="30"/>
          <w14:textFill>
            <w14:solidFill>
              <w14:schemeClr w14:val="tx1"/>
            </w14:solidFill>
          </w14:textFill>
        </w:rPr>
        <w:t>校验</w:t>
      </w:r>
      <w:r>
        <w:rPr>
          <w:rFonts w:cs="Times New Roman"/>
          <w:color w:val="000000" w:themeColor="text1"/>
          <w:sz w:val="30"/>
          <w:szCs w:val="30"/>
          <w14:textFill>
            <w14:solidFill>
              <w14:schemeClr w14:val="tx1"/>
            </w14:solidFill>
          </w14:textFill>
        </w:rPr>
        <w:t>、返回确认结果；能够正确对</w:t>
      </w:r>
      <w:r>
        <w:rPr>
          <w:rFonts w:hint="eastAsia" w:cs="Times New Roman"/>
          <w:color w:val="000000" w:themeColor="text1"/>
          <w:sz w:val="30"/>
          <w:szCs w:val="30"/>
          <w14:textFill>
            <w14:solidFill>
              <w14:schemeClr w14:val="tx1"/>
            </w14:solidFill>
          </w14:textFill>
        </w:rPr>
        <w:t>做市交易业务各类申报</w:t>
      </w:r>
      <w:r>
        <w:rPr>
          <w:rFonts w:cs="Times New Roman"/>
          <w:color w:val="000000" w:themeColor="text1"/>
          <w:sz w:val="30"/>
          <w:szCs w:val="30"/>
          <w14:textFill>
            <w14:solidFill>
              <w14:schemeClr w14:val="tx1"/>
            </w14:solidFill>
          </w14:textFill>
        </w:rPr>
        <w:t>进行撮合处理，并发送成交回报和行情信息；能够正确发布股票</w:t>
      </w:r>
      <w:r>
        <w:rPr>
          <w:rFonts w:hint="eastAsia" w:cs="Times New Roman"/>
          <w:color w:val="000000" w:themeColor="text1"/>
          <w:sz w:val="30"/>
          <w:szCs w:val="30"/>
          <w14:textFill>
            <w14:solidFill>
              <w14:schemeClr w14:val="tx1"/>
            </w14:solidFill>
          </w14:textFill>
        </w:rPr>
        <w:t>做市</w:t>
      </w:r>
      <w:r>
        <w:rPr>
          <w:rFonts w:cs="Times New Roman"/>
          <w:color w:val="000000" w:themeColor="text1"/>
          <w:sz w:val="30"/>
          <w:szCs w:val="30"/>
          <w14:textFill>
            <w14:solidFill>
              <w14:schemeClr w14:val="tx1"/>
            </w14:solidFill>
          </w14:textFill>
        </w:rPr>
        <w:t>信息。</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hint="default"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验证中国结算</w:t>
      </w:r>
      <w:r>
        <w:rPr>
          <w:rFonts w:hint="eastAsia" w:cs="Times New Roman"/>
          <w:color w:val="000000" w:themeColor="text1"/>
          <w:sz w:val="30"/>
          <w:szCs w:val="30"/>
          <w14:textFill>
            <w14:solidFill>
              <w14:schemeClr w14:val="tx1"/>
            </w14:solidFill>
          </w14:textFill>
        </w:rPr>
        <w:t>北京市场证券登记结算系统</w:t>
      </w:r>
      <w:r>
        <w:rPr>
          <w:rFonts w:cs="Times New Roman"/>
          <w:color w:val="000000" w:themeColor="text1"/>
          <w:sz w:val="30"/>
          <w:szCs w:val="30"/>
          <w14:textFill>
            <w14:solidFill>
              <w14:schemeClr w14:val="tx1"/>
            </w14:solidFill>
          </w14:textFill>
        </w:rPr>
        <w:t>能够正确进行日终处理，生成日终数据并发布。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hint="default"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验证深证通通信系统能够正确转发</w:t>
      </w: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的委托数据和</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hint="default"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14:textFill>
            <w14:solidFill>
              <w14:schemeClr w14:val="tx1"/>
            </w14:solidFill>
          </w14:textFill>
        </w:rPr>
        <w:t>拟开展做市交易业务的做市商</w:t>
      </w:r>
      <w:r>
        <w:rPr>
          <w:rFonts w:cs="Times New Roman"/>
          <w:color w:val="000000" w:themeColor="text1"/>
          <w:sz w:val="30"/>
          <w:szCs w:val="30"/>
          <w14:textFill>
            <w14:solidFill>
              <w14:schemeClr w14:val="tx1"/>
            </w14:solidFill>
          </w14:textFill>
        </w:rPr>
        <w:t>技术系统能够正确</w:t>
      </w:r>
      <w:r>
        <w:rPr>
          <w:rFonts w:hint="eastAsia" w:cs="Times New Roman"/>
          <w:color w:val="000000" w:themeColor="text1"/>
          <w:sz w:val="30"/>
          <w:szCs w:val="30"/>
          <w14:textFill>
            <w14:solidFill>
              <w14:schemeClr w14:val="tx1"/>
            </w14:solidFill>
          </w14:textFill>
        </w:rPr>
        <w:t>进行前端控制并</w:t>
      </w:r>
      <w:r>
        <w:rPr>
          <w:rFonts w:cs="Times New Roman"/>
          <w:color w:val="000000" w:themeColor="text1"/>
          <w:sz w:val="30"/>
          <w:szCs w:val="30"/>
          <w14:textFill>
            <w14:solidFill>
              <w14:schemeClr w14:val="tx1"/>
            </w14:solidFill>
          </w14:textFill>
        </w:rPr>
        <w:t>发送各类委托，</w:t>
      </w:r>
      <w:r>
        <w:rPr>
          <w:rFonts w:hint="eastAsia" w:cs="Times New Roman"/>
          <w:color w:val="000000" w:themeColor="text1"/>
          <w:sz w:val="30"/>
          <w:szCs w:val="30"/>
          <w14:textFill>
            <w14:solidFill>
              <w14:schemeClr w14:val="tx1"/>
            </w14:solidFill>
          </w14:textFill>
        </w:rPr>
        <w:t>做市商日内</w:t>
      </w:r>
      <w:r>
        <w:rPr>
          <w:rFonts w:cs="Times New Roman"/>
          <w:color w:val="000000" w:themeColor="text1"/>
          <w:sz w:val="30"/>
          <w:szCs w:val="30"/>
          <w14:textFill>
            <w14:solidFill>
              <w14:schemeClr w14:val="tx1"/>
            </w14:solidFill>
          </w14:textFill>
        </w:rPr>
        <w:t>回转交易</w:t>
      </w:r>
      <w:r>
        <w:rPr>
          <w:rFonts w:hint="eastAsia" w:cs="Times New Roman"/>
          <w:color w:val="000000" w:themeColor="text1"/>
          <w:sz w:val="30"/>
          <w:szCs w:val="30"/>
          <w14:textFill>
            <w14:solidFill>
              <w14:schemeClr w14:val="tx1"/>
            </w14:solidFill>
          </w14:textFill>
        </w:rPr>
        <w:t>可按本所要求配置；能够接收北交所</w:t>
      </w:r>
      <w:r>
        <w:rPr>
          <w:rFonts w:cs="Times New Roman"/>
          <w:color w:val="000000" w:themeColor="text1"/>
          <w:sz w:val="30"/>
          <w:szCs w:val="30"/>
          <w14:textFill>
            <w14:solidFill>
              <w14:schemeClr w14:val="tx1"/>
            </w14:solidFill>
          </w14:textFill>
        </w:rPr>
        <w:t>返回的回报和行情数据并进行实时处理，包括连续竞价股票做市商</w:t>
      </w:r>
      <w:r>
        <w:rPr>
          <w:rFonts w:hint="eastAsia" w:cs="Times New Roman"/>
          <w:color w:val="000000" w:themeColor="text1"/>
          <w:sz w:val="30"/>
          <w:szCs w:val="30"/>
          <w:lang w:eastAsia="zh-CN"/>
          <w14:textFill>
            <w14:solidFill>
              <w14:schemeClr w14:val="tx1"/>
            </w14:solidFill>
          </w14:textFill>
        </w:rPr>
        <w:t>数量</w:t>
      </w:r>
      <w:r>
        <w:rPr>
          <w:rFonts w:cs="Times New Roman"/>
          <w:color w:val="000000" w:themeColor="text1"/>
          <w:sz w:val="30"/>
          <w:szCs w:val="30"/>
          <w14:textFill>
            <w14:solidFill>
              <w14:schemeClr w14:val="tx1"/>
            </w14:solidFill>
          </w14:textFill>
        </w:rPr>
        <w:t>等信息的正常接收和揭示</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能够按照</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要求履行做市商报价义务，并支持豁免报价的场景</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能够正确接收中国结算发布的日终数据并完成清算交收。</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5.验证提供北交所行情服务的信息商</w:t>
      </w:r>
      <w:r>
        <w:rPr>
          <w:rFonts w:cs="Times New Roman"/>
          <w:color w:val="000000" w:themeColor="text1"/>
          <w:sz w:val="30"/>
          <w:szCs w:val="30"/>
          <w14:textFill>
            <w14:solidFill>
              <w14:schemeClr w14:val="tx1"/>
            </w14:solidFill>
          </w14:textFill>
        </w:rPr>
        <w:t>能够</w:t>
      </w:r>
      <w:r>
        <w:rPr>
          <w:rFonts w:hint="eastAsia" w:cs="Times New Roman"/>
          <w:color w:val="000000" w:themeColor="text1"/>
          <w:sz w:val="30"/>
          <w:szCs w:val="30"/>
          <w:lang w:eastAsia="zh-CN"/>
          <w14:textFill>
            <w14:solidFill>
              <w14:schemeClr w14:val="tx1"/>
            </w14:solidFill>
          </w14:textFill>
        </w:rPr>
        <w:t>正确揭示</w:t>
      </w:r>
      <w:r>
        <w:rPr>
          <w:rFonts w:cs="Times New Roman"/>
          <w:color w:val="000000" w:themeColor="text1"/>
          <w:sz w:val="30"/>
          <w:szCs w:val="30"/>
          <w14:textFill>
            <w14:solidFill>
              <w14:schemeClr w14:val="tx1"/>
            </w14:solidFill>
          </w14:textFill>
        </w:rPr>
        <w:t>连续竞价</w:t>
      </w:r>
      <w:r>
        <w:rPr>
          <w:rFonts w:hint="eastAsia" w:cs="Times New Roman"/>
          <w:color w:val="000000" w:themeColor="text1"/>
          <w:sz w:val="30"/>
          <w:szCs w:val="30"/>
          <w:lang w:eastAsia="zh-CN"/>
          <w14:textFill>
            <w14:solidFill>
              <w14:schemeClr w14:val="tx1"/>
            </w14:solidFill>
          </w14:textFill>
        </w:rPr>
        <w:t>股票做市商数量等信息</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6.验证北交所、全国股转系统、中国结算、深证通、</w:t>
      </w:r>
      <w:r>
        <w:rPr>
          <w:rFonts w:hint="eastAsia" w:cs="Times New Roman"/>
          <w:color w:val="000000" w:themeColor="text1"/>
          <w:sz w:val="30"/>
          <w:szCs w:val="30"/>
          <w:lang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等现有各项交易业务运行正常，</w:t>
      </w:r>
      <w:r>
        <w:rPr>
          <w:rFonts w:hint="eastAsia" w:cs="Times New Roman"/>
          <w:color w:val="000000" w:themeColor="text1"/>
          <w:sz w:val="30"/>
          <w:szCs w:val="30"/>
          <w:lang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、信息商等行情揭示正常。</w:t>
      </w:r>
    </w:p>
    <w:p>
      <w:pPr>
        <w:pStyle w:val="72"/>
        <w:numPr>
          <w:ilvl w:val="0"/>
          <w:numId w:val="5"/>
        </w:numPr>
        <w:spacing w:before="163" w:after="163"/>
        <w:ind w:firstLine="600"/>
      </w:pPr>
      <w:bookmarkStart w:id="37" w:name="_Toc1230753658"/>
      <w:r>
        <w:t>测试场景及要求</w:t>
      </w:r>
      <w:bookmarkEnd w:id="37"/>
    </w:p>
    <w:p>
      <w:pPr>
        <w:pStyle w:val="73"/>
        <w:numPr>
          <w:ilvl w:val="0"/>
          <w:numId w:val="6"/>
        </w:numPr>
        <w:spacing w:before="163" w:after="163"/>
        <w:ind w:firstLine="562"/>
        <w:rPr>
          <w:rFonts w:hint="eastAsia"/>
          <w:sz w:val="30"/>
          <w:szCs w:val="30"/>
        </w:rPr>
      </w:pPr>
      <w:bookmarkStart w:id="38" w:name="_Toc669755268"/>
      <w:r>
        <w:rPr>
          <w:rFonts w:hint="eastAsia"/>
          <w:sz w:val="30"/>
          <w:szCs w:val="30"/>
        </w:rPr>
        <w:t>测试场景</w:t>
      </w:r>
      <w:bookmarkEnd w:id="38"/>
    </w:p>
    <w:p>
      <w:pPr>
        <w:spacing w:line="240" w:lineRule="auto"/>
        <w:ind w:firstLine="600"/>
        <w:jc w:val="both"/>
      </w:pPr>
      <w:r>
        <w:rPr>
          <w:rFonts w:cs="Times New Roman"/>
          <w:color w:val="000000" w:themeColor="text1"/>
          <w:sz w:val="30"/>
          <w:szCs w:val="30"/>
          <w14:textFill>
            <w14:solidFill>
              <w14:schemeClr w14:val="tx1"/>
            </w14:solidFill>
          </w14:textFill>
        </w:rPr>
        <w:t>通关测试不单独设置测试场景</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所有场景以</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02</w:t>
      </w:r>
      <w:r>
        <w:rPr>
          <w:rFonts w:hint="eastAsia" w:cs="Times New Roman"/>
          <w:color w:val="000000" w:themeColor="text1"/>
          <w:sz w:val="30"/>
          <w:szCs w:val="30"/>
          <w:lang w:val="en-US" w:eastAsia="zh-CN"/>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lang w:val="en-US" w:eastAsia="zh-CN"/>
          <w14:textFill>
            <w14:solidFill>
              <w14:schemeClr w14:val="tx1"/>
            </w14:solidFill>
          </w14:textFill>
        </w:rPr>
        <w:t>2</w:t>
      </w:r>
      <w:r>
        <w:rPr>
          <w:rFonts w:hint="eastAsia" w:cs="Times New Roman"/>
          <w:color w:val="000000" w:themeColor="text1"/>
          <w:sz w:val="30"/>
          <w:szCs w:val="30"/>
          <w14:textFill>
            <w14:solidFill>
              <w14:schemeClr w14:val="tx1"/>
            </w14:solidFill>
          </w14:textFill>
        </w:rPr>
        <w:t>月</w:t>
      </w:r>
      <w:r>
        <w:rPr>
          <w:rFonts w:hint="eastAsia" w:cs="Times New Roman"/>
          <w:color w:val="000000" w:themeColor="text1"/>
          <w:sz w:val="30"/>
          <w:szCs w:val="30"/>
          <w:lang w:val="en-US" w:eastAsia="zh-CN"/>
          <w14:textFill>
            <w14:solidFill>
              <w14:schemeClr w14:val="tx1"/>
            </w14:solidFill>
          </w14:textFill>
        </w:rPr>
        <w:t>20</w:t>
      </w:r>
      <w:r>
        <w:rPr>
          <w:rFonts w:hint="eastAsia" w:cs="Times New Roman"/>
          <w:color w:val="000000" w:themeColor="text1"/>
          <w:sz w:val="30"/>
          <w:szCs w:val="30"/>
          <w14:textFill>
            <w14:solidFill>
              <w14:schemeClr w14:val="tx1"/>
            </w14:solidFill>
          </w14:textFill>
        </w:rPr>
        <w:t>日（周一）生效的业务场景为准</w:t>
      </w:r>
      <w:r>
        <w:rPr>
          <w:rFonts w:cs="Times New Roman"/>
          <w:color w:val="000000" w:themeColor="text1"/>
          <w:sz w:val="30"/>
          <w:szCs w:val="30"/>
          <w14:textFill>
            <w14:solidFill>
              <w14:schemeClr w14:val="tx1"/>
            </w14:solidFill>
          </w14:textFill>
        </w:rPr>
        <w:t>。</w:t>
      </w:r>
    </w:p>
    <w:p>
      <w:pPr>
        <w:pStyle w:val="73"/>
        <w:spacing w:before="163" w:after="163"/>
        <w:ind w:firstLine="562"/>
        <w:rPr>
          <w:sz w:val="30"/>
          <w:szCs w:val="30"/>
        </w:rPr>
      </w:pPr>
      <w:bookmarkStart w:id="39" w:name="_Toc963523137"/>
      <w:r>
        <w:rPr>
          <w:rFonts w:hint="eastAsia"/>
        </w:rPr>
        <w:t>（二）</w:t>
      </w:r>
      <w:r>
        <w:rPr>
          <w:rFonts w:hint="eastAsia"/>
          <w:sz w:val="30"/>
          <w:szCs w:val="30"/>
        </w:rPr>
        <w:t>测试要求</w:t>
      </w:r>
      <w:bookmarkEnd w:id="39"/>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000000" w:themeColor="text1"/>
          <w:sz w:val="30"/>
          <w:szCs w:val="30"/>
          <w14:textFill>
            <w14:solidFill>
              <w14:schemeClr w14:val="tx1"/>
            </w14:solidFill>
          </w14:textFill>
        </w:rPr>
      </w:pPr>
      <w:r>
        <w:rPr>
          <w:rFonts w:hint="eastAsia" w:cs="Times New Roman"/>
          <w:sz w:val="30"/>
          <w:szCs w:val="30"/>
          <w:lang w:val="en-US" w:eastAsia="zh-CN"/>
        </w:rPr>
        <w:t>1.</w:t>
      </w:r>
      <w:r>
        <w:rPr>
          <w:rFonts w:hint="eastAsia" w:cs="Times New Roman"/>
          <w:sz w:val="30"/>
          <w:szCs w:val="30"/>
        </w:rPr>
        <w:t>全体参测</w:t>
      </w:r>
      <w:r>
        <w:rPr>
          <w:rFonts w:hint="eastAsia" w:cs="Times New Roman"/>
          <w:sz w:val="30"/>
          <w:szCs w:val="30"/>
          <w:lang w:eastAsia="zh-CN"/>
        </w:rPr>
        <w:t>证券公司须</w:t>
      </w:r>
      <w:r>
        <w:rPr>
          <w:rFonts w:hint="eastAsia" w:cs="Times New Roman"/>
          <w:color w:val="000000" w:themeColor="text1"/>
          <w:sz w:val="30"/>
          <w:szCs w:val="30"/>
          <w14:textFill>
            <w14:solidFill>
              <w14:schemeClr w14:val="tx1"/>
            </w14:solidFill>
          </w14:textFill>
        </w:rPr>
        <w:t>验证现有各项交易业务运行正常。</w:t>
      </w:r>
    </w:p>
    <w:p>
      <w:pPr>
        <w:numPr>
          <w:ilvl w:val="0"/>
          <w:numId w:val="0"/>
        </w:numPr>
        <w:spacing w:line="240" w:lineRule="auto"/>
        <w:ind w:firstLine="600" w:firstLineChars="200"/>
        <w:jc w:val="both"/>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2.</w:t>
      </w:r>
      <w:r>
        <w:rPr>
          <w:rFonts w:hint="eastAsia" w:cs="Times New Roman"/>
          <w:color w:val="000000" w:themeColor="text1"/>
          <w:sz w:val="30"/>
          <w:szCs w:val="30"/>
          <w:lang w:eastAsia="zh-CN"/>
          <w14:textFill>
            <w14:solidFill>
              <w14:schemeClr w14:val="tx1"/>
            </w14:solidFill>
          </w14:textFill>
        </w:rPr>
        <w:t>做市商通过做市专用账户</w:t>
      </w:r>
      <w:r>
        <w:rPr>
          <w:rFonts w:hint="eastAsia"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lang w:eastAsia="zh-CN"/>
          <w14:textFill>
            <w14:solidFill>
              <w14:schemeClr w14:val="tx1"/>
            </w14:solidFill>
          </w14:textFill>
        </w:rPr>
        <w:t>北交所股票</w:t>
      </w:r>
      <w:r>
        <w:rPr>
          <w:rFonts w:hint="eastAsia" w:cs="Times New Roman"/>
          <w:color w:val="000000" w:themeColor="text1"/>
          <w:sz w:val="30"/>
          <w:szCs w:val="30"/>
          <w14:textFill>
            <w14:solidFill>
              <w14:schemeClr w14:val="tx1"/>
            </w14:solidFill>
          </w14:textFill>
        </w:rPr>
        <w:t>市价申报、限价申报和大宗成交确认申报，并覆盖买</w:t>
      </w:r>
      <w:r>
        <w:rPr>
          <w:rFonts w:hint="eastAsia" w:cs="Times New Roman"/>
          <w:color w:val="000000" w:themeColor="text1"/>
          <w:sz w:val="30"/>
          <w:szCs w:val="30"/>
          <w:lang w:eastAsia="zh-CN"/>
          <w14:textFill>
            <w14:solidFill>
              <w14:schemeClr w14:val="tx1"/>
            </w14:solidFill>
          </w14:textFill>
        </w:rPr>
        <w:t>、</w:t>
      </w:r>
      <w:r>
        <w:rPr>
          <w:rFonts w:hint="eastAsia" w:cs="Times New Roman"/>
          <w:color w:val="000000" w:themeColor="text1"/>
          <w:sz w:val="30"/>
          <w:szCs w:val="30"/>
          <w14:textFill>
            <w14:solidFill>
              <w14:schemeClr w14:val="tx1"/>
            </w14:solidFill>
          </w14:textFill>
        </w:rPr>
        <w:t>卖</w:t>
      </w:r>
      <w:r>
        <w:rPr>
          <w:rFonts w:hint="eastAsia" w:cs="Times New Roman"/>
          <w:color w:val="000000" w:themeColor="text1"/>
          <w:sz w:val="30"/>
          <w:szCs w:val="30"/>
          <w:lang w:eastAsia="zh-CN"/>
          <w14:textFill>
            <w14:solidFill>
              <w14:schemeClr w14:val="tx1"/>
            </w14:solidFill>
          </w14:textFill>
        </w:rPr>
        <w:t>、</w:t>
      </w:r>
      <w:r>
        <w:rPr>
          <w:rFonts w:hint="eastAsia" w:cs="Times New Roman"/>
          <w:color w:val="000000" w:themeColor="text1"/>
          <w:sz w:val="30"/>
          <w:szCs w:val="30"/>
          <w14:textFill>
            <w14:solidFill>
              <w14:schemeClr w14:val="tx1"/>
            </w14:solidFill>
          </w14:textFill>
        </w:rPr>
        <w:t>撤单。</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做市商不可进行做市商间互报成交确认申报</w:t>
      </w:r>
      <w:r>
        <w:rPr>
          <w:rFonts w:hint="eastAsia" w:cs="Times New Roman"/>
          <w:color w:val="000000" w:themeColor="text1"/>
          <w:sz w:val="30"/>
          <w:szCs w:val="30"/>
          <w:lang w:eastAsia="zh-CN"/>
          <w14:textFill>
            <w14:solidFill>
              <w14:schemeClr w14:val="tx1"/>
            </w14:solidFill>
          </w14:textFill>
        </w:rPr>
        <w:t>，</w:t>
      </w:r>
      <w:r>
        <w:rPr>
          <w:rFonts w:hint="eastAsia" w:cs="Times New Roman"/>
          <w:color w:val="000000" w:themeColor="text1"/>
          <w:sz w:val="30"/>
          <w:szCs w:val="30"/>
          <w14:textFill>
            <w14:solidFill>
              <w14:schemeClr w14:val="tx1"/>
            </w14:solidFill>
          </w14:textFill>
        </w:rPr>
        <w:t>只能交易其已经申请加入做市的股票。</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做市商的单笔申报数量最少为100股，以1股增减，且单边累计申报最低数量应不低于1000股。</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FF0000"/>
          <w:sz w:val="30"/>
          <w:szCs w:val="30"/>
        </w:rPr>
      </w:pPr>
      <w:r>
        <w:rPr>
          <w:rFonts w:hint="eastAsia" w:cs="Times New Roman"/>
          <w:color w:val="000000" w:themeColor="text1"/>
          <w:sz w:val="30"/>
          <w:szCs w:val="30"/>
          <w14:textFill>
            <w14:solidFill>
              <w14:schemeClr w14:val="tx1"/>
            </w14:solidFill>
          </w14:textFill>
        </w:rPr>
        <w:t>做市商日</w:t>
      </w:r>
      <w:r>
        <w:rPr>
          <w:rFonts w:hint="eastAsia" w:cs="Times New Roman"/>
          <w:color w:val="000000" w:themeColor="text1"/>
          <w:sz w:val="30"/>
          <w:szCs w:val="30"/>
          <w:lang w:eastAsia="zh-CN"/>
          <w14:textFill>
            <w14:solidFill>
              <w14:schemeClr w14:val="tx1"/>
            </w14:solidFill>
          </w14:textFill>
        </w:rPr>
        <w:t>间须按照业务要求履行报价义务，</w:t>
      </w:r>
      <w:r>
        <w:rPr>
          <w:rFonts w:hint="eastAsia" w:cs="Times New Roman"/>
          <w:color w:val="000000" w:themeColor="text1"/>
          <w:sz w:val="30"/>
          <w:szCs w:val="30"/>
          <w14:textFill>
            <w14:solidFill>
              <w14:schemeClr w14:val="tx1"/>
            </w14:solidFill>
          </w14:textFill>
        </w:rPr>
        <w:t>不支持</w:t>
      </w:r>
      <w:r>
        <w:rPr>
          <w:rFonts w:hint="eastAsia" w:cs="Times New Roman"/>
          <w:color w:val="000000" w:themeColor="text1"/>
          <w:sz w:val="30"/>
          <w:szCs w:val="30"/>
          <w:lang w:eastAsia="zh-CN"/>
          <w14:textFill>
            <w14:solidFill>
              <w14:schemeClr w14:val="tx1"/>
            </w14:solidFill>
          </w14:textFill>
        </w:rPr>
        <w:t>北交所股票</w:t>
      </w:r>
      <w:r>
        <w:rPr>
          <w:rFonts w:hint="eastAsia" w:cs="Times New Roman"/>
          <w:color w:val="000000" w:themeColor="text1"/>
          <w:sz w:val="30"/>
          <w:szCs w:val="30"/>
          <w14:textFill>
            <w14:solidFill>
              <w14:schemeClr w14:val="tx1"/>
            </w14:solidFill>
          </w14:textFill>
        </w:rPr>
        <w:t>回转交易。</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做市商可以参与询价和申购，处理规则与其他投资者一致。做市专用证券账户不得参与战略配售。</w:t>
      </w:r>
    </w:p>
    <w:p>
      <w:pPr>
        <w:keepNext w:val="0"/>
        <w:keepLines w:val="0"/>
        <w:pageBreakBefore w:val="0"/>
        <w:widowControl w:val="0"/>
        <w:kinsoku/>
        <w:wordWrap/>
        <w:overflowPunct/>
        <w:topLinePunct w:val="0"/>
        <w:autoSpaceDE/>
        <w:autoSpaceDN/>
        <w:bidi w:val="0"/>
        <w:adjustRightInd/>
        <w:snapToGrid/>
        <w:spacing w:line="240" w:lineRule="auto"/>
        <w:ind w:firstLine="600"/>
        <w:jc w:val="both"/>
        <w:textAlignment w:val="auto"/>
        <w:rPr>
          <w:rFonts w:hint="eastAsia"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4.日间接收</w:t>
      </w:r>
      <w:r>
        <w:rPr>
          <w:rFonts w:hint="eastAsia" w:cs="Times New Roman"/>
          <w:color w:val="000000" w:themeColor="text1"/>
          <w:sz w:val="30"/>
          <w:szCs w:val="30"/>
          <w14:textFill>
            <w14:solidFill>
              <w14:schemeClr w14:val="tx1"/>
            </w14:solidFill>
          </w14:textFill>
        </w:rPr>
        <w:t>证券信息库（NQXX.DBF）</w:t>
      </w:r>
      <w:r>
        <w:rPr>
          <w:rFonts w:hint="eastAsia" w:cs="Times New Roman"/>
          <w:color w:val="000000" w:themeColor="text1"/>
          <w:sz w:val="30"/>
          <w:szCs w:val="30"/>
          <w:lang w:eastAsia="zh-CN"/>
          <w14:textFill>
            <w14:solidFill>
              <w14:schemeClr w14:val="tx1"/>
            </w14:solidFill>
          </w14:textFill>
        </w:rPr>
        <w:t>，揭</w:t>
      </w:r>
      <w:r>
        <w:rPr>
          <w:rFonts w:hint="eastAsia" w:cs="Times New Roman"/>
          <w:color w:val="000000" w:themeColor="text1"/>
          <w:sz w:val="30"/>
          <w:szCs w:val="30"/>
          <w14:textFill>
            <w14:solidFill>
              <w14:schemeClr w14:val="tx1"/>
            </w14:solidFill>
          </w14:textFill>
        </w:rPr>
        <w:t>示对应证券的做市商数量</w:t>
      </w:r>
      <w:r>
        <w:rPr>
          <w:rFonts w:hint="eastAsia" w:cs="Times New Roman"/>
          <w:color w:val="000000" w:themeColor="text1"/>
          <w:sz w:val="30"/>
          <w:szCs w:val="30"/>
          <w:lang w:eastAsia="zh-CN"/>
          <w14:textFill>
            <w14:solidFill>
              <w14:schemeClr w14:val="tx1"/>
            </w14:solidFill>
          </w14:textFill>
        </w:rPr>
        <w:t>。</w:t>
      </w:r>
    </w:p>
    <w:p>
      <w:pPr>
        <w:pStyle w:val="72"/>
        <w:numPr>
          <w:ilvl w:val="0"/>
          <w:numId w:val="5"/>
        </w:numPr>
        <w:spacing w:before="163" w:after="163"/>
        <w:ind w:firstLine="600"/>
      </w:pPr>
      <w:bookmarkStart w:id="40" w:name="_Toc1884629298"/>
      <w:r>
        <w:t>测试数据准备</w:t>
      </w:r>
      <w:bookmarkEnd w:id="40"/>
    </w:p>
    <w:p>
      <w:pPr>
        <w:pStyle w:val="73"/>
        <w:spacing w:before="163" w:after="163"/>
        <w:ind w:firstLine="562"/>
      </w:pPr>
      <w:bookmarkStart w:id="41" w:name="_Toc502216522"/>
      <w:bookmarkStart w:id="42" w:name="_Toc1040628177"/>
      <w:bookmarkStart w:id="43" w:name="_Toc502217616"/>
      <w:r>
        <w:rPr>
          <w:rFonts w:hint="eastAsia"/>
        </w:rPr>
        <w:t>（一）</w:t>
      </w:r>
      <w:r>
        <w:rPr>
          <w:sz w:val="30"/>
          <w:szCs w:val="30"/>
        </w:rPr>
        <w:t>证券行情和证券信息</w:t>
      </w:r>
      <w:bookmarkEnd w:id="41"/>
      <w:bookmarkEnd w:id="42"/>
      <w:bookmarkEnd w:id="43"/>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w:t>
      </w: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年2月</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lang w:val="en-US" w:eastAsia="zh-CN"/>
          <w14:textFill>
            <w14:solidFill>
              <w14:schemeClr w14:val="tx1"/>
            </w14:solidFill>
          </w14:textFill>
        </w:rPr>
        <w:t>7</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交易支持平台生产</w:t>
      </w:r>
      <w:r>
        <w:rPr>
          <w:rFonts w:cs="Times New Roman"/>
          <w:color w:val="000000" w:themeColor="text1"/>
          <w:sz w:val="30"/>
          <w:szCs w:val="30"/>
          <w14:textFill>
            <w14:solidFill>
              <w14:schemeClr w14:val="tx1"/>
            </w14:solidFill>
          </w14:textFill>
        </w:rPr>
        <w:t>环境收盘证券行情（NQHQ.DBF）和证券信息（NQXX.DBF）为准。</w:t>
      </w:r>
    </w:p>
    <w:p>
      <w:pPr>
        <w:pStyle w:val="73"/>
        <w:pageBreakBefore w:val="0"/>
        <w:widowControl w:val="0"/>
        <w:kinsoku/>
        <w:wordWrap/>
        <w:overflowPunct/>
        <w:topLinePunct w:val="0"/>
        <w:autoSpaceDE/>
        <w:autoSpaceDN/>
        <w:bidi w:val="0"/>
        <w:spacing w:before="163" w:after="163"/>
        <w:ind w:firstLine="562"/>
        <w:textAlignment w:val="auto"/>
      </w:pPr>
      <w:bookmarkStart w:id="44" w:name="_Toc502216523"/>
      <w:bookmarkStart w:id="45" w:name="_Toc1416481536"/>
      <w:bookmarkStart w:id="46" w:name="_Toc502217617"/>
      <w:r>
        <w:rPr>
          <w:rFonts w:hint="eastAsia"/>
        </w:rPr>
        <w:t>（二）</w:t>
      </w:r>
      <w:r>
        <w:rPr>
          <w:sz w:val="30"/>
          <w:szCs w:val="30"/>
        </w:rPr>
        <w:t>证券账户、交易单元、托管单元及持仓</w:t>
      </w:r>
      <w:bookmarkEnd w:id="44"/>
      <w:bookmarkEnd w:id="45"/>
      <w:bookmarkEnd w:id="46"/>
    </w:p>
    <w:p>
      <w:pPr>
        <w:spacing w:line="240" w:lineRule="auto"/>
        <w:ind w:firstLine="600"/>
        <w:jc w:val="both"/>
        <w:rPr>
          <w:rFonts w:cs="Times New Roman"/>
          <w:color w:val="000000" w:themeColor="text1"/>
          <w:sz w:val="30"/>
          <w:szCs w:val="30"/>
          <w14:textFill>
            <w14:solidFill>
              <w14:schemeClr w14:val="tx1"/>
            </w14:solidFill>
          </w14:textFill>
        </w:rPr>
      </w:pPr>
      <w:r>
        <w:rPr>
          <w:rStyle w:val="104"/>
        </w:rPr>
        <w:t>证券账户</w:t>
      </w:r>
      <w:r>
        <w:rPr>
          <w:rStyle w:val="104"/>
          <w:rFonts w:hint="eastAsia"/>
          <w:lang w:eastAsia="zh-CN"/>
        </w:rPr>
        <w:t>、交易单元、托管单元</w:t>
      </w:r>
      <w:r>
        <w:rPr>
          <w:rStyle w:val="104"/>
        </w:rPr>
        <w:t>及持仓的初始信息以</w:t>
      </w:r>
      <w:r>
        <w:rPr>
          <w:rFonts w:hint="eastAsia" w:cs="Times New Roman"/>
          <w:color w:val="000000" w:themeColor="text1"/>
          <w:sz w:val="30"/>
          <w:szCs w:val="30"/>
          <w14:textFill>
            <w14:solidFill>
              <w14:schemeClr w14:val="tx1"/>
            </w14:solidFill>
          </w14:textFill>
        </w:rPr>
        <w:t>202</w:t>
      </w: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年2月1</w:t>
      </w:r>
      <w:r>
        <w:rPr>
          <w:rFonts w:hint="eastAsia" w:cs="Times New Roman"/>
          <w:color w:val="000000" w:themeColor="text1"/>
          <w:sz w:val="30"/>
          <w:szCs w:val="30"/>
          <w:lang w:val="en-US" w:eastAsia="zh-CN"/>
          <w14:textFill>
            <w14:solidFill>
              <w14:schemeClr w14:val="tx1"/>
            </w14:solidFill>
          </w14:textFill>
        </w:rPr>
        <w:t>7</w:t>
      </w:r>
      <w:r>
        <w:rPr>
          <w:rFonts w:hint="eastAsia" w:cs="Times New Roman"/>
          <w:color w:val="000000" w:themeColor="text1"/>
          <w:sz w:val="30"/>
          <w:szCs w:val="30"/>
          <w14:textFill>
            <w14:solidFill>
              <w14:schemeClr w14:val="tx1"/>
            </w14:solidFill>
          </w14:textFill>
        </w:rPr>
        <w:t>日（周五）</w:t>
      </w:r>
      <w:r>
        <w:rPr>
          <w:rStyle w:val="104"/>
        </w:rPr>
        <w:t>全国股转系统、北交所和中国结算生产环境日终数据为准。</w:t>
      </w:r>
    </w:p>
    <w:p>
      <w:pPr>
        <w:pStyle w:val="73"/>
        <w:spacing w:before="163" w:after="163"/>
        <w:ind w:firstLine="562"/>
      </w:pPr>
      <w:bookmarkStart w:id="47" w:name="_Toc502216528"/>
      <w:bookmarkStart w:id="48" w:name="_Toc502217622"/>
      <w:bookmarkStart w:id="49" w:name="_Toc1165071191"/>
      <w:r>
        <w:rPr>
          <w:rFonts w:hint="eastAsia"/>
        </w:rPr>
        <w:t>（三）</w:t>
      </w:r>
      <w:r>
        <w:rPr>
          <w:sz w:val="30"/>
          <w:szCs w:val="30"/>
        </w:rPr>
        <w:t>交易网关、行情网关和结算网关</w:t>
      </w:r>
      <w:bookmarkEnd w:id="47"/>
      <w:bookmarkEnd w:id="48"/>
      <w:bookmarkEnd w:id="4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w:t>
      </w:r>
      <w:r>
        <w:rPr>
          <w:rFonts w:hint="eastAsia" w:cs="Times New Roman"/>
          <w:color w:val="000000" w:themeColor="text1"/>
          <w:sz w:val="30"/>
          <w:szCs w:val="30"/>
          <w14:textFill>
            <w14:solidFill>
              <w14:schemeClr w14:val="tx1"/>
            </w14:solidFill>
          </w14:textFill>
        </w:rPr>
        <w:t>202</w:t>
      </w: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年2月1</w:t>
      </w:r>
      <w:r>
        <w:rPr>
          <w:rFonts w:hint="eastAsia" w:cs="Times New Roman"/>
          <w:color w:val="000000" w:themeColor="text1"/>
          <w:sz w:val="30"/>
          <w:szCs w:val="30"/>
          <w:lang w:val="en-US" w:eastAsia="zh-CN"/>
          <w14:textFill>
            <w14:solidFill>
              <w14:schemeClr w14:val="tx1"/>
            </w14:solidFill>
          </w14:textFill>
        </w:rPr>
        <w:t>7</w:t>
      </w:r>
      <w:r>
        <w:rPr>
          <w:rFonts w:hint="eastAsia" w:cs="Times New Roman"/>
          <w:color w:val="000000" w:themeColor="text1"/>
          <w:sz w:val="30"/>
          <w:szCs w:val="30"/>
          <w14:textFill>
            <w14:solidFill>
              <w14:schemeClr w14:val="tx1"/>
            </w14:solidFill>
          </w14:textFill>
        </w:rPr>
        <w:t>日（周五）</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50" w:name="_Toc376285233"/>
      <w:bookmarkStart w:id="51" w:name="_Toc374957920"/>
      <w:bookmarkStart w:id="52" w:name="_Toc376597526"/>
      <w:bookmarkStart w:id="53" w:name="_Toc374381928"/>
      <w:bookmarkStart w:id="54" w:name="_Toc375557974"/>
      <w:bookmarkStart w:id="55" w:name="_Toc375070738"/>
      <w:bookmarkStart w:id="56" w:name="_Toc374381862"/>
    </w:p>
    <w:p>
      <w:pPr>
        <w:pStyle w:val="72"/>
        <w:numPr>
          <w:ilvl w:val="0"/>
          <w:numId w:val="5"/>
        </w:numPr>
        <w:spacing w:before="163" w:after="163"/>
        <w:ind w:firstLine="600"/>
      </w:pPr>
      <w:bookmarkStart w:id="57" w:name="_Toc1251802860"/>
      <w:r>
        <w:t>测试系统接入方式</w:t>
      </w:r>
      <w:bookmarkEnd w:id="50"/>
      <w:bookmarkEnd w:id="51"/>
      <w:bookmarkEnd w:id="52"/>
      <w:bookmarkEnd w:id="53"/>
      <w:bookmarkEnd w:id="54"/>
      <w:bookmarkEnd w:id="55"/>
      <w:bookmarkEnd w:id="56"/>
      <w:bookmarkEnd w:id="57"/>
    </w:p>
    <w:p>
      <w:pPr>
        <w:pStyle w:val="73"/>
        <w:spacing w:before="163" w:after="163"/>
        <w:ind w:firstLine="562"/>
      </w:pPr>
      <w:bookmarkStart w:id="58" w:name="_Toc416422123"/>
      <w:bookmarkStart w:id="59" w:name="_Toc337938243"/>
      <w:bookmarkStart w:id="60" w:name="_Toc374957922"/>
      <w:bookmarkStart w:id="61" w:name="_Toc376285235"/>
      <w:bookmarkStart w:id="62" w:name="_Toc374381930"/>
      <w:bookmarkStart w:id="63" w:name="_Toc375070740"/>
      <w:bookmarkStart w:id="64" w:name="_Toc374381864"/>
      <w:bookmarkStart w:id="65" w:name="_Toc375557976"/>
      <w:bookmarkStart w:id="66" w:name="_Toc376597528"/>
      <w:r>
        <w:rPr>
          <w:rFonts w:hint="eastAsia"/>
        </w:rPr>
        <w:t>（一）</w:t>
      </w:r>
      <w:r>
        <w:rPr>
          <w:sz w:val="30"/>
          <w:szCs w:val="30"/>
        </w:rPr>
        <w:t>参测</w:t>
      </w:r>
      <w:r>
        <w:rPr>
          <w:rFonts w:hint="eastAsia"/>
          <w:sz w:val="30"/>
          <w:szCs w:val="30"/>
        </w:rPr>
        <w:t>机构</w:t>
      </w:r>
      <w:r>
        <w:rPr>
          <w:sz w:val="30"/>
          <w:szCs w:val="30"/>
        </w:rPr>
        <w:t>接入深证通</w:t>
      </w:r>
      <w:bookmarkEnd w:id="58"/>
      <w:bookmarkEnd w:id="59"/>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环境线路接入深证通提供的通关测试环境，如有问题，请及时联系深证通。</w:t>
      </w:r>
    </w:p>
    <w:p>
      <w:pPr>
        <w:pStyle w:val="73"/>
        <w:widowControl w:val="0"/>
        <w:spacing w:before="163" w:after="163"/>
        <w:ind w:firstLine="562"/>
      </w:pPr>
      <w:bookmarkStart w:id="67" w:name="_Toc1717367138"/>
      <w:bookmarkStart w:id="68" w:name="_Toc386964499"/>
      <w:bookmarkStart w:id="69" w:name="_Toc416422124"/>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67"/>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bookmarkEnd w:id="60"/>
    <w:bookmarkEnd w:id="61"/>
    <w:bookmarkEnd w:id="62"/>
    <w:bookmarkEnd w:id="63"/>
    <w:bookmarkEnd w:id="64"/>
    <w:bookmarkEnd w:id="65"/>
    <w:bookmarkEnd w:id="66"/>
    <w:bookmarkEnd w:id="68"/>
    <w:bookmarkEnd w:id="69"/>
    <w:p>
      <w:pPr>
        <w:pStyle w:val="72"/>
        <w:widowControl w:val="0"/>
        <w:spacing w:before="163" w:after="163"/>
        <w:ind w:firstLine="600"/>
      </w:pPr>
      <w:bookmarkStart w:id="70" w:name="_Toc374381932"/>
      <w:bookmarkStart w:id="71" w:name="_Toc375557978"/>
      <w:bookmarkStart w:id="72" w:name="_Toc376597530"/>
      <w:bookmarkStart w:id="73" w:name="_Toc374957924"/>
      <w:bookmarkStart w:id="74" w:name="_Toc375070742"/>
      <w:bookmarkStart w:id="75" w:name="_Toc376285237"/>
      <w:bookmarkStart w:id="76" w:name="_Toc932162662"/>
      <w:bookmarkStart w:id="77" w:name="_Toc374381866"/>
      <w:r>
        <w:rPr>
          <w:rFonts w:hint="eastAsia"/>
        </w:rPr>
        <w:t>十、</w:t>
      </w:r>
      <w:r>
        <w:t>测试要求及注意事项</w:t>
      </w:r>
      <w:bookmarkEnd w:id="70"/>
      <w:bookmarkEnd w:id="71"/>
      <w:bookmarkEnd w:id="72"/>
      <w:bookmarkEnd w:id="73"/>
      <w:bookmarkEnd w:id="74"/>
      <w:bookmarkEnd w:id="75"/>
      <w:bookmarkEnd w:id="76"/>
      <w:bookmarkEnd w:id="77"/>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 xml:space="preserve"> 各参测机构应根据</w:t>
      </w:r>
      <w:r>
        <w:rPr>
          <w:rFonts w:hint="eastAsia" w:cs="Times New Roman"/>
          <w:color w:val="000000" w:themeColor="text1"/>
          <w:sz w:val="30"/>
          <w:szCs w:val="30"/>
          <w14:textFill>
            <w14:solidFill>
              <w14:schemeClr w14:val="tx1"/>
            </w14:solidFill>
          </w14:textFill>
        </w:rPr>
        <w:t>《</w:t>
      </w:r>
      <w:r>
        <w:rPr>
          <w:rStyle w:val="104"/>
        </w:rPr>
        <w:t>交易支持平台数据接口规范</w:t>
      </w:r>
      <w:r>
        <w:rPr>
          <w:rStyle w:val="105"/>
        </w:rPr>
        <w:t>（V2.1）</w:t>
      </w:r>
      <w:r>
        <w:rPr>
          <w:rFonts w:hint="eastAsia" w:cs="Times New Roman"/>
          <w:color w:val="000000" w:themeColor="text1"/>
          <w:sz w:val="30"/>
          <w:szCs w:val="30"/>
          <w14:textFill>
            <w14:solidFill>
              <w14:schemeClr w14:val="tx1"/>
            </w14:solidFill>
          </w14:textFill>
        </w:rPr>
        <w:t>》《</w:t>
      </w:r>
      <w:r>
        <w:rPr>
          <w:rStyle w:val="104"/>
        </w:rPr>
        <w:t>北京证券交易所市场参与者技术系统变更指南之</w:t>
      </w:r>
      <w:r>
        <w:rPr>
          <w:rStyle w:val="104"/>
          <w:rFonts w:hint="eastAsia"/>
          <w:lang w:eastAsia="zh-CN"/>
        </w:rPr>
        <w:t>做市交易</w:t>
      </w:r>
      <w:r>
        <w:rPr>
          <w:rStyle w:val="104"/>
        </w:rPr>
        <w:t>业务（</w:t>
      </w:r>
      <w:r>
        <w:rPr>
          <w:rStyle w:val="105"/>
        </w:rPr>
        <w:t>V1.</w:t>
      </w:r>
      <w:r>
        <w:rPr>
          <w:rStyle w:val="105"/>
          <w:rFonts w:hint="eastAsia"/>
          <w:lang w:val="en-US" w:eastAsia="zh-CN"/>
        </w:rPr>
        <w:t>0</w:t>
      </w:r>
      <w:r>
        <w:rPr>
          <w:rStyle w:val="104"/>
        </w:rPr>
        <w:t>）</w:t>
      </w:r>
      <w:r>
        <w:rPr>
          <w:rFonts w:hint="eastAsia" w:cs="Times New Roman"/>
          <w:color w:val="000000" w:themeColor="text1"/>
          <w:sz w:val="30"/>
          <w:szCs w:val="30"/>
          <w14:textFill>
            <w14:solidFill>
              <w14:schemeClr w14:val="tx1"/>
            </w14:solidFill>
          </w14:textFill>
        </w:rPr>
        <w:t>》等</w:t>
      </w:r>
      <w:r>
        <w:rPr>
          <w:rFonts w:cs="Times New Roman"/>
          <w:color w:val="000000" w:themeColor="text1"/>
          <w:sz w:val="30"/>
          <w:szCs w:val="30"/>
          <w14:textFill>
            <w14:solidFill>
              <w14:schemeClr w14:val="tx1"/>
            </w14:solidFill>
          </w14:textFill>
        </w:rPr>
        <w:t>技术</w:t>
      </w:r>
      <w:r>
        <w:rPr>
          <w:rFonts w:hint="eastAsia" w:cs="Times New Roman"/>
          <w:color w:val="000000" w:themeColor="text1"/>
          <w:sz w:val="30"/>
          <w:szCs w:val="30"/>
          <w14:textFill>
            <w14:solidFill>
              <w14:schemeClr w14:val="tx1"/>
            </w14:solidFill>
          </w14:textFill>
        </w:rPr>
        <w:t>规范</w:t>
      </w:r>
      <w:r>
        <w:rPr>
          <w:rFonts w:cs="Times New Roman"/>
          <w:color w:val="000000" w:themeColor="text1"/>
          <w:sz w:val="30"/>
          <w:szCs w:val="30"/>
          <w14:textFill>
            <w14:solidFill>
              <w14:schemeClr w14:val="tx1"/>
            </w14:solidFill>
          </w14:textFill>
        </w:rPr>
        <w:t>和测试方案，认真做好技术准备和测试环境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ascii="Times New Roman" w:hAnsi="Times New Roman" w:eastAsia="仿宋"/>
          <w:sz w:val="32"/>
          <w:szCs w:val="32"/>
        </w:rPr>
        <w:t>开展北交所和全国股转系统业务的</w:t>
      </w:r>
      <w:r>
        <w:rPr>
          <w:rFonts w:hint="eastAsia" w:ascii="Times New Roman" w:hAnsi="Times New Roman" w:eastAsia="仿宋"/>
          <w:sz w:val="32"/>
          <w:szCs w:val="32"/>
          <w:lang w:eastAsia="zh-CN"/>
        </w:rPr>
        <w:t>证券公司</w:t>
      </w:r>
      <w:r>
        <w:rPr>
          <w:rFonts w:hint="eastAsia" w:cs="Times New Roman"/>
          <w:color w:val="000000" w:themeColor="text1"/>
          <w:sz w:val="30"/>
          <w:szCs w:val="30"/>
          <w:lang w:eastAsia="zh-CN"/>
          <w14:textFill>
            <w14:solidFill>
              <w14:schemeClr w14:val="tx1"/>
            </w14:solidFill>
          </w14:textFill>
        </w:rPr>
        <w:t>、</w:t>
      </w:r>
      <w:r>
        <w:rPr>
          <w:rFonts w:hint="eastAsia" w:cs="Times New Roman"/>
          <w:color w:val="000000" w:themeColor="text1"/>
          <w:sz w:val="30"/>
          <w:szCs w:val="30"/>
          <w14:textFill>
            <w14:solidFill>
              <w14:schemeClr w14:val="tx1"/>
            </w14:solidFill>
          </w14:textFill>
        </w:rPr>
        <w:t>提供北交所行情服务的信息商应参加测试，并反馈测试报告。</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参测机构</w:t>
      </w:r>
      <w:r>
        <w:rPr>
          <w:rFonts w:cs="Times New Roman"/>
          <w:color w:val="000000" w:themeColor="text1"/>
          <w:sz w:val="30"/>
          <w:szCs w:val="30"/>
          <w14:textFill>
            <w14:solidFill>
              <w14:schemeClr w14:val="tx1"/>
            </w14:solidFill>
          </w14:textFill>
        </w:rPr>
        <w:t>在测试过程中如发现异常现象，请及时通过电话</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10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63889800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或QQ群</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338167838</w:t>
      </w:r>
      <w:r>
        <w:rPr>
          <w:rFonts w:hint="eastAsia" w:cs="Times New Roman"/>
          <w:color w:val="000000" w:themeColor="text1"/>
          <w:sz w:val="30"/>
          <w:szCs w:val="30"/>
          <w14:textFill>
            <w14:solidFill>
              <w14:schemeClr w14:val="tx1"/>
            </w14:solidFill>
          </w14:textFill>
        </w:rPr>
        <w:t>）上报</w:t>
      </w:r>
      <w:r>
        <w:rPr>
          <w:rFonts w:cs="Times New Roman"/>
          <w:color w:val="000000" w:themeColor="text1"/>
          <w:sz w:val="30"/>
          <w:szCs w:val="30"/>
          <w14:textFill>
            <w14:solidFill>
              <w14:schemeClr w14:val="tx1"/>
            </w14:solidFill>
          </w14:textFill>
        </w:rPr>
        <w:t>。</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测试结束后，</w:t>
      </w:r>
      <w:r>
        <w:rPr>
          <w:rFonts w:hint="eastAsia" w:cs="Times New Roman"/>
          <w:color w:val="000000" w:themeColor="text1"/>
          <w:sz w:val="30"/>
          <w:szCs w:val="30"/>
          <w14:textFill>
            <w14:solidFill>
              <w14:schemeClr w14:val="tx1"/>
            </w14:solidFill>
          </w14:textFill>
        </w:rPr>
        <w:t>各</w:t>
      </w:r>
      <w:r>
        <w:rPr>
          <w:rFonts w:cs="Times New Roman"/>
          <w:color w:val="000000" w:themeColor="text1"/>
          <w:sz w:val="30"/>
          <w:szCs w:val="30"/>
          <w14:textFill>
            <w14:solidFill>
              <w14:schemeClr w14:val="tx1"/>
            </w14:solidFill>
          </w14:textFill>
        </w:rPr>
        <w:t>参测</w:t>
      </w:r>
      <w:r>
        <w:rPr>
          <w:rFonts w:hint="eastAsia" w:cs="Times New Roman"/>
          <w:color w:val="000000" w:themeColor="text1"/>
          <w:sz w:val="30"/>
          <w:szCs w:val="30"/>
          <w:lang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于</w:t>
      </w:r>
      <w:r>
        <w:rPr>
          <w:rFonts w:cs="Times New Roman"/>
          <w:color w:val="000000" w:themeColor="text1"/>
          <w:sz w:val="30"/>
          <w:szCs w:val="30"/>
          <w14:textFill>
            <w14:solidFill>
              <w14:schemeClr w14:val="tx1"/>
            </w14:solidFill>
          </w14:textFill>
        </w:rPr>
        <w:t>20</w:t>
      </w:r>
      <w:r>
        <w:rPr>
          <w:rFonts w:hint="eastAsia" w:cs="Times New Roman"/>
          <w:color w:val="000000" w:themeColor="text1"/>
          <w:sz w:val="30"/>
          <w:szCs w:val="30"/>
          <w14:textFill>
            <w14:solidFill>
              <w14:schemeClr w14:val="tx1"/>
            </w14:solidFill>
          </w14:textFill>
        </w:rPr>
        <w:t>2</w:t>
      </w:r>
      <w:r>
        <w:rPr>
          <w:rFonts w:hint="eastAsia" w:cs="Times New Roman"/>
          <w:color w:val="000000" w:themeColor="text1"/>
          <w:sz w:val="30"/>
          <w:szCs w:val="30"/>
          <w:lang w:val="en-US" w:eastAsia="zh-CN"/>
          <w14:textFill>
            <w14:solidFill>
              <w14:schemeClr w14:val="tx1"/>
            </w14:solidFill>
          </w14:textFill>
        </w:rPr>
        <w:t>3</w:t>
      </w:r>
      <w:r>
        <w:rPr>
          <w:rFonts w:cs="Times New Roman"/>
          <w:color w:val="000000" w:themeColor="text1"/>
          <w:sz w:val="30"/>
          <w:szCs w:val="30"/>
          <w14:textFill>
            <w14:solidFill>
              <w14:schemeClr w14:val="tx1"/>
            </w14:solidFill>
          </w14:textFill>
        </w:rPr>
        <w:t>年2</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lang w:val="en-US" w:eastAsia="zh-CN"/>
          <w14:textFill>
            <w14:solidFill>
              <w14:schemeClr w14:val="tx1"/>
            </w14:solidFill>
          </w14:textFill>
        </w:rPr>
        <w:t>8</w:t>
      </w:r>
      <w:r>
        <w:rPr>
          <w:rFonts w:hint="eastAsia" w:cs="Times New Roman"/>
          <w:color w:val="000000" w:themeColor="text1"/>
          <w:sz w:val="30"/>
          <w:szCs w:val="30"/>
          <w14:textFill>
            <w14:solidFill>
              <w14:schemeClr w14:val="tx1"/>
            </w14:solidFill>
          </w14:textFill>
        </w:rPr>
        <w:t>日2</w:t>
      </w:r>
      <w:r>
        <w:rPr>
          <w:rFonts w:cs="Times New Roman"/>
          <w:color w:val="000000" w:themeColor="text1"/>
          <w:sz w:val="30"/>
          <w:szCs w:val="30"/>
          <w14:textFill>
            <w14:solidFill>
              <w14:schemeClr w14:val="tx1"/>
            </w14:solidFill>
          </w14:textFill>
        </w:rPr>
        <w:t>0:00之前通过BPM提交测试报告（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参测信息商应按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ascii="仿宋" w:hAnsi="仿宋" w:cs="Times New Roman"/>
          <w:color w:val="000000" w:themeColor="text1"/>
          <w:sz w:val="30"/>
          <w:szCs w:val="30"/>
          <w14:textFill>
            <w14:solidFill>
              <w14:schemeClr w14:val="tx1"/>
            </w14:solidFill>
          </w14:textFill>
        </w:rPr>
        <w:t>机构</w:t>
      </w:r>
      <w:r>
        <w:rPr>
          <w:rFonts w:ascii="仿宋" w:hAnsi="仿宋" w:cs="Times New Roman"/>
          <w:color w:val="000000" w:themeColor="text1"/>
          <w:sz w:val="30"/>
          <w:szCs w:val="30"/>
          <w14:textFill>
            <w14:solidFill>
              <w14:schemeClr w14:val="tx1"/>
            </w14:solidFill>
          </w14:textFill>
        </w:rPr>
        <w:t>名称+</w:t>
      </w:r>
      <w:r>
        <w:rPr>
          <w:rFonts w:hint="eastAsia" w:ascii="仿宋" w:hAnsi="仿宋" w:cs="Times New Roman"/>
          <w:color w:val="000000" w:themeColor="text1"/>
          <w:sz w:val="30"/>
          <w:szCs w:val="30"/>
          <w:lang w:eastAsia="zh-CN"/>
          <w14:textFill>
            <w14:solidFill>
              <w14:schemeClr w14:val="tx1"/>
            </w14:solidFill>
          </w14:textFill>
        </w:rPr>
        <w:t>北京证券交易所做市交易</w:t>
      </w:r>
      <w:r>
        <w:rPr>
          <w:rFonts w:hint="eastAsia" w:ascii="仿宋" w:hAnsi="仿宋" w:cs="Times New Roman"/>
          <w:color w:val="000000" w:themeColor="text1"/>
          <w:sz w:val="30"/>
          <w:szCs w:val="30"/>
          <w14:textFill>
            <w14:solidFill>
              <w14:schemeClr w14:val="tx1"/>
            </w14:solidFill>
          </w14:textFill>
        </w:rPr>
        <w:t>业务</w:t>
      </w:r>
      <w:r>
        <w:rPr>
          <w:rFonts w:hint="eastAsia" w:cs="Times New Roman"/>
          <w:color w:val="000000" w:themeColor="text1"/>
          <w:sz w:val="30"/>
          <w:szCs w:val="30"/>
          <w14:textFill>
            <w14:solidFill>
              <w14:schemeClr w14:val="tx1"/>
            </w14:solidFill>
          </w14:textFill>
        </w:rPr>
        <w:t>通关</w:t>
      </w:r>
      <w:r>
        <w:rPr>
          <w:rFonts w:cs="Times New Roman"/>
          <w:color w:val="000000" w:themeColor="text1"/>
          <w:sz w:val="30"/>
          <w:szCs w:val="30"/>
          <w14:textFill>
            <w14:solidFill>
              <w14:schemeClr w14:val="tx1"/>
            </w14:solidFill>
          </w14:textFill>
        </w:rPr>
        <w:t>测试反馈</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5</w:t>
      </w:r>
      <w:r>
        <w:rPr>
          <w:rFonts w:hint="eastAsia" w:cs="Times New Roman"/>
          <w:color w:val="000000" w:themeColor="text1"/>
          <w:sz w:val="30"/>
          <w:szCs w:val="30"/>
          <w14:textFill>
            <w14:solidFill>
              <w14:schemeClr w14:val="tx1"/>
            </w14:solidFill>
          </w14:textFill>
        </w:rPr>
        <w:t>．北交所履行上线决策后，请各参测机构根据北交所的通关测试结果做好技术系统数据恢复和验证工作，并于202</w:t>
      </w:r>
      <w:r>
        <w:rPr>
          <w:rFonts w:hint="eastAsia" w:cs="Times New Roman"/>
          <w:color w:val="000000" w:themeColor="text1"/>
          <w:sz w:val="30"/>
          <w:szCs w:val="30"/>
          <w:lang w:val="en-US" w:eastAsia="zh-CN"/>
          <w14:textFill>
            <w14:solidFill>
              <w14:schemeClr w14:val="tx1"/>
            </w14:solidFill>
          </w14:textFill>
        </w:rPr>
        <w:t>3</w:t>
      </w:r>
      <w:r>
        <w:rPr>
          <w:rFonts w:hint="eastAsia" w:cs="Times New Roman"/>
          <w:color w:val="000000" w:themeColor="text1"/>
          <w:sz w:val="30"/>
          <w:szCs w:val="30"/>
          <w14:textFill>
            <w14:solidFill>
              <w14:schemeClr w14:val="tx1"/>
            </w14:solidFill>
          </w14:textFill>
        </w:rPr>
        <w:t>年</w:t>
      </w: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月1</w:t>
      </w:r>
      <w:r>
        <w:rPr>
          <w:rFonts w:hint="eastAsia" w:cs="Times New Roman"/>
          <w:color w:val="000000" w:themeColor="text1"/>
          <w:sz w:val="30"/>
          <w:szCs w:val="30"/>
          <w:lang w:val="en-US" w:eastAsia="zh-CN"/>
          <w14:textFill>
            <w14:solidFill>
              <w14:schemeClr w14:val="tx1"/>
            </w14:solidFill>
          </w14:textFill>
        </w:rPr>
        <w:t>9</w:t>
      </w:r>
      <w:r>
        <w:rPr>
          <w:rFonts w:hint="eastAsia" w:cs="Times New Roman"/>
          <w:color w:val="000000" w:themeColor="text1"/>
          <w:sz w:val="30"/>
          <w:szCs w:val="30"/>
          <w14:textFill>
            <w14:solidFill>
              <w14:schemeClr w14:val="tx1"/>
            </w14:solidFill>
          </w14:textFill>
        </w:rPr>
        <w:t>日（周日）上午1</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:00前反馈技术系统恢复情况报告（无须盖章）。各</w:t>
      </w:r>
      <w:r>
        <w:rPr>
          <w:rFonts w:hint="eastAsia" w:cs="Times New Roman"/>
          <w:color w:val="000000" w:themeColor="text1"/>
          <w:sz w:val="30"/>
          <w:szCs w:val="30"/>
          <w:lang w:val="en" w:eastAsia="zh-CN"/>
          <w14:textFill>
            <w14:solidFill>
              <w14:schemeClr w14:val="tx1"/>
            </w14:solidFill>
          </w14:textFill>
        </w:rPr>
        <w:t>证券公司</w:t>
      </w:r>
      <w:r>
        <w:rPr>
          <w:rFonts w:hint="eastAsia" w:cs="Times New Roman"/>
          <w:color w:val="000000" w:themeColor="text1"/>
          <w:sz w:val="30"/>
          <w:szCs w:val="30"/>
          <w14:textFill>
            <w14:solidFill>
              <w14:schemeClr w14:val="tx1"/>
            </w14:solidFill>
          </w14:textFill>
        </w:rPr>
        <w:t>通过BPM反馈，信息商通过电子邮件反馈至techservice@neeq.com.cn。</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通关测试的数据，包括但不限于交易单元、交易网关等，仅为模拟测试使用，不能作为生产环境任何交易、非交易及开户等业务的依据，请各参测机构做好生产环境保护。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lang w:val="en-US" w:eastAsia="zh-CN"/>
          <w14:textFill>
            <w14:solidFill>
              <w14:schemeClr w14:val="tx1"/>
            </w14:solidFill>
          </w14:textFill>
        </w:rPr>
        <w:t>7</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 xml:space="preserve"> </w:t>
      </w:r>
      <w:r>
        <w:rPr>
          <w:rFonts w:hint="eastAsia" w:cs="Times New Roman"/>
          <w:color w:val="000000" w:themeColor="text1"/>
          <w:sz w:val="30"/>
          <w:szCs w:val="30"/>
          <w14:textFill>
            <w14:solidFill>
              <w14:schemeClr w14:val="tx1"/>
            </w14:solidFill>
          </w14:textFill>
        </w:rPr>
        <w:t>各参测机构应在测试完毕后，做好环境恢复和验证工作，确保下一交易日生产系统正常。</w:t>
      </w:r>
      <w:bookmarkStart w:id="86" w:name="_GoBack"/>
      <w:bookmarkEnd w:id="86"/>
    </w:p>
    <w:p>
      <w:pPr>
        <w:pStyle w:val="72"/>
        <w:spacing w:before="163" w:after="163"/>
        <w:ind w:firstLine="600"/>
      </w:pPr>
      <w:bookmarkStart w:id="78" w:name="_Toc375070745"/>
      <w:bookmarkStart w:id="79" w:name="_Toc1655496716"/>
      <w:bookmarkStart w:id="80" w:name="_Toc376597533"/>
      <w:bookmarkStart w:id="81" w:name="_Toc374381869"/>
      <w:bookmarkStart w:id="82" w:name="_Toc376285240"/>
      <w:bookmarkStart w:id="83" w:name="_Toc374381935"/>
      <w:bookmarkStart w:id="84" w:name="_Toc375557981"/>
      <w:bookmarkStart w:id="85" w:name="_Toc374957927"/>
      <w:r>
        <w:t>十</w:t>
      </w:r>
      <w:r>
        <w:rPr>
          <w:rFonts w:hint="eastAsia"/>
        </w:rPr>
        <w:t>一、</w:t>
      </w:r>
      <w:r>
        <w:t>联系方式</w:t>
      </w:r>
      <w:bookmarkEnd w:id="78"/>
      <w:bookmarkEnd w:id="79"/>
      <w:bookmarkEnd w:id="80"/>
      <w:bookmarkEnd w:id="81"/>
      <w:bookmarkEnd w:id="82"/>
      <w:bookmarkEnd w:id="83"/>
      <w:bookmarkEnd w:id="84"/>
      <w:bookmarkEnd w:id="8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全国股转公司/北京</w:t>
            </w:r>
            <w:r>
              <w:rPr>
                <w:rFonts w:cs="Times New Roman"/>
                <w:color w:val="000000" w:themeColor="text1"/>
                <w:szCs w:val="24"/>
                <w14:textFill>
                  <w14:solidFill>
                    <w14:schemeClr w14:val="tx1"/>
                  </w14:solidFill>
                </w14:textFill>
              </w:rPr>
              <w:t>证券交易所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ind w:firstLine="0" w:firstLineChars="0"/>
              <w:jc w:val="center"/>
              <w:rPr>
                <w:rFonts w:hint="default" w:eastAsia="仿宋" w:cs="Times New Roman"/>
                <w:color w:val="000000" w:themeColor="text1"/>
                <w:szCs w:val="24"/>
                <w:lang w:val="en-US" w:eastAsia="zh-CN"/>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hint="eastAsia" w:cs="Times New Roman"/>
                <w:color w:val="000000" w:themeColor="text1"/>
                <w:szCs w:val="24"/>
                <w:lang w:eastAsia="zh-CN"/>
                <w14:textFill>
                  <w14:solidFill>
                    <w14:schemeClr w14:val="tx1"/>
                  </w14:solidFill>
                </w14:textFill>
              </w:rPr>
              <w:t>做市交易</w:t>
            </w:r>
            <w:r>
              <w:rPr>
                <w:rFonts w:hint="eastAsia" w:cs="Times New Roman"/>
                <w:color w:val="000000" w:themeColor="text1"/>
                <w:szCs w:val="24"/>
                <w14:textFill>
                  <w14:solidFill>
                    <w14:schemeClr w14:val="tx1"/>
                  </w14:solidFill>
                </w14:textFill>
              </w:rPr>
              <w:t>测试群：</w:t>
            </w:r>
            <w:r>
              <w:rPr>
                <w:rFonts w:hint="eastAsia" w:cs="Times New Roman"/>
                <w:color w:val="000000" w:themeColor="text1"/>
                <w:szCs w:val="24"/>
                <w:lang w:val="en-US" w:eastAsia="zh-CN"/>
                <w14:textFill>
                  <w14:solidFill>
                    <w14:schemeClr w14:val="tx1"/>
                  </w14:solidFill>
                </w14:textFill>
              </w:rPr>
              <w:t>644316849</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w:t>
      </w:r>
      <w:r>
        <w:rPr>
          <w:rFonts w:ascii="仿宋" w:hAnsi="仿宋" w:cs="Times New Roman"/>
          <w:color w:val="000000" w:themeColor="text1"/>
          <w:sz w:val="30"/>
          <w:szCs w:val="30"/>
          <w14:textFill>
            <w14:solidFill>
              <w14:schemeClr w14:val="tx1"/>
            </w14:solidFill>
          </w14:textFill>
        </w:rPr>
        <w:t>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9"/>
      <w:r>
        <w:rPr>
          <w:rFonts w:hint="eastAsia" w:ascii="仿宋" w:hAnsi="仿宋" w:cs="Times New Roman"/>
          <w:color w:val="000000" w:themeColor="text1"/>
          <w:sz w:val="30"/>
          <w:szCs w:val="30"/>
          <w:lang w:eastAsia="zh-CN"/>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二</w:t>
      </w:r>
      <w:r>
        <w:rPr>
          <w:rFonts w:ascii="仿宋" w:hAnsi="仿宋" w:cs="Times New Roman"/>
          <w:color w:val="000000" w:themeColor="text1"/>
          <w:sz w:val="30"/>
          <w:szCs w:val="30"/>
          <w14:textFill>
            <w14:solidFill>
              <w14:schemeClr w14:val="tx1"/>
            </w14:solidFill>
          </w14:textFill>
        </w:rPr>
        <w:t>月</w:t>
      </w:r>
    </w:p>
    <w:sectPr>
      <w:footerReference r:id="rId11"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roma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FangSong">
    <w:altName w:val="方正仿宋_GBK"/>
    <w:panose1 w:val="02010609060101010101"/>
    <w:charset w:val="86"/>
    <w:family w:val="roman"/>
    <w:pitch w:val="default"/>
    <w:sig w:usb0="00000000" w:usb1="00000000" w:usb2="00000016" w:usb3="00000000" w:csb0="00040001"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E7F824FA"/>
    <w:multiLevelType w:val="singleLevel"/>
    <w:tmpl w:val="E7F824FA"/>
    <w:lvl w:ilvl="0" w:tentative="0">
      <w:start w:val="1"/>
      <w:numFmt w:val="chineseCounting"/>
      <w:suff w:val="nothing"/>
      <w:lvlText w:val="（%1）"/>
      <w:lvlJc w:val="left"/>
      <w:rPr>
        <w:rFonts w:hint="eastAsia"/>
      </w:rPr>
    </w:lvl>
  </w:abstractNum>
  <w:abstractNum w:abstractNumId="2">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3">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62DB2"/>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F6D"/>
    <w:rsid w:val="000B7ED7"/>
    <w:rsid w:val="000C088E"/>
    <w:rsid w:val="000C1067"/>
    <w:rsid w:val="000C394B"/>
    <w:rsid w:val="000D0227"/>
    <w:rsid w:val="000D1438"/>
    <w:rsid w:val="000D1696"/>
    <w:rsid w:val="000D36DC"/>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4B9"/>
    <w:rsid w:val="001A7EE0"/>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413"/>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37780"/>
    <w:rsid w:val="00340164"/>
    <w:rsid w:val="003435C8"/>
    <w:rsid w:val="0034490A"/>
    <w:rsid w:val="00345A5A"/>
    <w:rsid w:val="0034606A"/>
    <w:rsid w:val="00346B3E"/>
    <w:rsid w:val="00346E7A"/>
    <w:rsid w:val="0035311A"/>
    <w:rsid w:val="00356611"/>
    <w:rsid w:val="00357376"/>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974D4"/>
    <w:rsid w:val="003A18ED"/>
    <w:rsid w:val="003A1C7E"/>
    <w:rsid w:val="003A2550"/>
    <w:rsid w:val="003A3C96"/>
    <w:rsid w:val="003A3D7E"/>
    <w:rsid w:val="003A708A"/>
    <w:rsid w:val="003B03DE"/>
    <w:rsid w:val="003B0724"/>
    <w:rsid w:val="003B09AE"/>
    <w:rsid w:val="003B3E37"/>
    <w:rsid w:val="003B3F69"/>
    <w:rsid w:val="003C23AB"/>
    <w:rsid w:val="003C5F2F"/>
    <w:rsid w:val="003C6782"/>
    <w:rsid w:val="003D0664"/>
    <w:rsid w:val="003D18FB"/>
    <w:rsid w:val="003D3F42"/>
    <w:rsid w:val="003E39AD"/>
    <w:rsid w:val="003E424C"/>
    <w:rsid w:val="003E43F2"/>
    <w:rsid w:val="003E4A8B"/>
    <w:rsid w:val="003E551C"/>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27B7"/>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06FB"/>
    <w:rsid w:val="006338D2"/>
    <w:rsid w:val="00635142"/>
    <w:rsid w:val="00641E34"/>
    <w:rsid w:val="00642F33"/>
    <w:rsid w:val="00644998"/>
    <w:rsid w:val="00646182"/>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328F"/>
    <w:rsid w:val="007E508E"/>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1EE3"/>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22895"/>
    <w:rsid w:val="00923BED"/>
    <w:rsid w:val="00923D02"/>
    <w:rsid w:val="00925E3D"/>
    <w:rsid w:val="00933037"/>
    <w:rsid w:val="0093438C"/>
    <w:rsid w:val="009348C2"/>
    <w:rsid w:val="009402ED"/>
    <w:rsid w:val="0094370A"/>
    <w:rsid w:val="00943B82"/>
    <w:rsid w:val="0094598F"/>
    <w:rsid w:val="0094624F"/>
    <w:rsid w:val="009504F6"/>
    <w:rsid w:val="00952067"/>
    <w:rsid w:val="00952634"/>
    <w:rsid w:val="00952F8D"/>
    <w:rsid w:val="009541FF"/>
    <w:rsid w:val="009546DB"/>
    <w:rsid w:val="00956537"/>
    <w:rsid w:val="00956A92"/>
    <w:rsid w:val="00956F89"/>
    <w:rsid w:val="00962A00"/>
    <w:rsid w:val="00965CFD"/>
    <w:rsid w:val="00965EE3"/>
    <w:rsid w:val="00972A4B"/>
    <w:rsid w:val="00976149"/>
    <w:rsid w:val="00981237"/>
    <w:rsid w:val="00986D1E"/>
    <w:rsid w:val="0099075F"/>
    <w:rsid w:val="00992D72"/>
    <w:rsid w:val="00994B66"/>
    <w:rsid w:val="00997599"/>
    <w:rsid w:val="00997DD9"/>
    <w:rsid w:val="009A20F1"/>
    <w:rsid w:val="009A29A6"/>
    <w:rsid w:val="009A2DBB"/>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51370"/>
    <w:rsid w:val="00B52BB7"/>
    <w:rsid w:val="00B54F2F"/>
    <w:rsid w:val="00B57D40"/>
    <w:rsid w:val="00B61037"/>
    <w:rsid w:val="00B62B0E"/>
    <w:rsid w:val="00B633F0"/>
    <w:rsid w:val="00B66359"/>
    <w:rsid w:val="00B674AC"/>
    <w:rsid w:val="00B7792D"/>
    <w:rsid w:val="00B828F3"/>
    <w:rsid w:val="00B86908"/>
    <w:rsid w:val="00B92C02"/>
    <w:rsid w:val="00B93041"/>
    <w:rsid w:val="00BA01EB"/>
    <w:rsid w:val="00BA0B30"/>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4E6F"/>
    <w:rsid w:val="00CE58BF"/>
    <w:rsid w:val="00CE621D"/>
    <w:rsid w:val="00CE7308"/>
    <w:rsid w:val="00CF023C"/>
    <w:rsid w:val="00CF1607"/>
    <w:rsid w:val="00CF3008"/>
    <w:rsid w:val="00CF46B7"/>
    <w:rsid w:val="00CF47DE"/>
    <w:rsid w:val="00CF523A"/>
    <w:rsid w:val="00CF54E4"/>
    <w:rsid w:val="00CF56B2"/>
    <w:rsid w:val="00D00542"/>
    <w:rsid w:val="00D0254E"/>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1D5"/>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77E0"/>
    <w:rsid w:val="00E07EC5"/>
    <w:rsid w:val="00E10904"/>
    <w:rsid w:val="00E13D53"/>
    <w:rsid w:val="00E14A59"/>
    <w:rsid w:val="00E16FD3"/>
    <w:rsid w:val="00E22194"/>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107B"/>
    <w:rsid w:val="00E81942"/>
    <w:rsid w:val="00E82B74"/>
    <w:rsid w:val="00E8498D"/>
    <w:rsid w:val="00E86C20"/>
    <w:rsid w:val="00E92CDB"/>
    <w:rsid w:val="00E95E00"/>
    <w:rsid w:val="00EA1D18"/>
    <w:rsid w:val="00EA210D"/>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5E4B"/>
    <w:rsid w:val="00F1638A"/>
    <w:rsid w:val="00F178F8"/>
    <w:rsid w:val="00F17FC4"/>
    <w:rsid w:val="00F22D08"/>
    <w:rsid w:val="00F240E1"/>
    <w:rsid w:val="00F24F0B"/>
    <w:rsid w:val="00F30CDA"/>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D313F84"/>
    <w:rsid w:val="2E19750B"/>
    <w:rsid w:val="2ED8407A"/>
    <w:rsid w:val="2FDF7211"/>
    <w:rsid w:val="32E60A1F"/>
    <w:rsid w:val="373B04F2"/>
    <w:rsid w:val="37FF004C"/>
    <w:rsid w:val="38675A43"/>
    <w:rsid w:val="39965EB4"/>
    <w:rsid w:val="39CD7B28"/>
    <w:rsid w:val="39E66E3B"/>
    <w:rsid w:val="3A414072"/>
    <w:rsid w:val="3B3F5BFA"/>
    <w:rsid w:val="3B5D6616"/>
    <w:rsid w:val="3B90705F"/>
    <w:rsid w:val="3BB56AC5"/>
    <w:rsid w:val="3BDE59F6"/>
    <w:rsid w:val="3BEF008C"/>
    <w:rsid w:val="3CC05DFB"/>
    <w:rsid w:val="3CC130FB"/>
    <w:rsid w:val="3D433A82"/>
    <w:rsid w:val="3DFD4037"/>
    <w:rsid w:val="3EB17BB1"/>
    <w:rsid w:val="3ECBDB4B"/>
    <w:rsid w:val="3EEF3C1B"/>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4FBD79FB"/>
    <w:rsid w:val="522D1654"/>
    <w:rsid w:val="52DC2732"/>
    <w:rsid w:val="54866DF9"/>
    <w:rsid w:val="55683C90"/>
    <w:rsid w:val="5577567F"/>
    <w:rsid w:val="560C77D2"/>
    <w:rsid w:val="56907AD8"/>
    <w:rsid w:val="57F624E8"/>
    <w:rsid w:val="59396B30"/>
    <w:rsid w:val="59479D1A"/>
    <w:rsid w:val="5A105AE3"/>
    <w:rsid w:val="5AD25B2D"/>
    <w:rsid w:val="5C1271C4"/>
    <w:rsid w:val="5DC581F0"/>
    <w:rsid w:val="5E655CD1"/>
    <w:rsid w:val="5E9345EC"/>
    <w:rsid w:val="5F1A4D0E"/>
    <w:rsid w:val="5F260774"/>
    <w:rsid w:val="5F7D4308"/>
    <w:rsid w:val="5FA02DB5"/>
    <w:rsid w:val="60455DBA"/>
    <w:rsid w:val="617D396E"/>
    <w:rsid w:val="61B962B6"/>
    <w:rsid w:val="62F35CA0"/>
    <w:rsid w:val="637F0500"/>
    <w:rsid w:val="65CDFE01"/>
    <w:rsid w:val="65D60872"/>
    <w:rsid w:val="65E6501A"/>
    <w:rsid w:val="663F14FE"/>
    <w:rsid w:val="66742F55"/>
    <w:rsid w:val="66A24A95"/>
    <w:rsid w:val="672901E4"/>
    <w:rsid w:val="676F2E36"/>
    <w:rsid w:val="67E0517D"/>
    <w:rsid w:val="69385A69"/>
    <w:rsid w:val="69977CA6"/>
    <w:rsid w:val="6AC0514F"/>
    <w:rsid w:val="6B5E2426"/>
    <w:rsid w:val="6BDB0007"/>
    <w:rsid w:val="6D3EF44F"/>
    <w:rsid w:val="6D57537F"/>
    <w:rsid w:val="6EF0CB2B"/>
    <w:rsid w:val="6F0E72E3"/>
    <w:rsid w:val="6F8E7DFB"/>
    <w:rsid w:val="6F9D176F"/>
    <w:rsid w:val="714654A2"/>
    <w:rsid w:val="71D9FD6A"/>
    <w:rsid w:val="725620A9"/>
    <w:rsid w:val="725957A4"/>
    <w:rsid w:val="727D7636"/>
    <w:rsid w:val="73631280"/>
    <w:rsid w:val="73BAB1A5"/>
    <w:rsid w:val="73D2043A"/>
    <w:rsid w:val="74081181"/>
    <w:rsid w:val="746E6CBC"/>
    <w:rsid w:val="756D573F"/>
    <w:rsid w:val="75B23A9A"/>
    <w:rsid w:val="75FB294F"/>
    <w:rsid w:val="77F73F70"/>
    <w:rsid w:val="77FE6E06"/>
    <w:rsid w:val="781047FF"/>
    <w:rsid w:val="79EF7B77"/>
    <w:rsid w:val="7A7C01D3"/>
    <w:rsid w:val="7A9DC15A"/>
    <w:rsid w:val="7AB81FDE"/>
    <w:rsid w:val="7CEA3B1A"/>
    <w:rsid w:val="7D7F6134"/>
    <w:rsid w:val="7DAC5273"/>
    <w:rsid w:val="7DFFA554"/>
    <w:rsid w:val="7DFFA881"/>
    <w:rsid w:val="7E5D8A7E"/>
    <w:rsid w:val="7F390D88"/>
    <w:rsid w:val="7F3F39B0"/>
    <w:rsid w:val="7F5F614A"/>
    <w:rsid w:val="7FA649FE"/>
    <w:rsid w:val="7FB80DC6"/>
    <w:rsid w:val="7FFBAE23"/>
    <w:rsid w:val="A9F71641"/>
    <w:rsid w:val="ABF7BBFE"/>
    <w:rsid w:val="AFFF1A5D"/>
    <w:rsid w:val="B1B6DF8B"/>
    <w:rsid w:val="B4FF9AFD"/>
    <w:rsid w:val="B7BF9CA6"/>
    <w:rsid w:val="BEFF8213"/>
    <w:rsid w:val="BF7F3257"/>
    <w:rsid w:val="BFD74E05"/>
    <w:rsid w:val="CE2F4295"/>
    <w:rsid w:val="CF7F1EB2"/>
    <w:rsid w:val="DEBF684A"/>
    <w:rsid w:val="DEEEED88"/>
    <w:rsid w:val="DEFD4B1D"/>
    <w:rsid w:val="DFED0A57"/>
    <w:rsid w:val="DFEFF127"/>
    <w:rsid w:val="E7AF39AB"/>
    <w:rsid w:val="E9B580F3"/>
    <w:rsid w:val="EFADBCFE"/>
    <w:rsid w:val="F36F127E"/>
    <w:rsid w:val="F57FBA7F"/>
    <w:rsid w:val="F7E6BD8F"/>
    <w:rsid w:val="F7FDAE24"/>
    <w:rsid w:val="F7FF8CDF"/>
    <w:rsid w:val="FAF76BA9"/>
    <w:rsid w:val="FBFDFFF7"/>
    <w:rsid w:val="FBFFF29D"/>
    <w:rsid w:val="FD7E7650"/>
    <w:rsid w:val="FDB7E4C2"/>
    <w:rsid w:val="FDBD980A"/>
    <w:rsid w:val="FFBEF6C2"/>
    <w:rsid w:val="FFDF703E"/>
    <w:rsid w:val="FFE9AAAA"/>
    <w:rsid w:val="FFFAB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912</Words>
  <Characters>5200</Characters>
  <Lines>43</Lines>
  <Paragraphs>12</Paragraphs>
  <TotalTime>0</TotalTime>
  <ScaleCrop>false</ScaleCrop>
  <LinksUpToDate>false</LinksUpToDate>
  <CharactersWithSpaces>6100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2022-11-24T16:54:00Z</dcterms:created>
  <dc:creator>张恒zh</dc:creator>
  <cp:lastModifiedBy>liuying</cp:lastModifiedBy>
  <cp:lastPrinted>2021-09-23T14:03:00Z</cp:lastPrinted>
  <dcterms:modified xsi:type="dcterms:W3CDTF">2023-02-11T15:10:53Z</dcterms:modified>
  <dc:title>工程技术文档</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