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Times New Roman"/>
          <w:sz w:val="32"/>
        </w:rPr>
      </w:pPr>
      <w:bookmarkStart w:id="0" w:name="_GoBack"/>
      <w:bookmarkEnd w:id="0"/>
    </w:p>
    <w:p>
      <w:pPr>
        <w:spacing w:line="600" w:lineRule="exact"/>
        <w:jc w:val="center"/>
        <w:rPr>
          <w:rFonts w:ascii="方正大标宋简体" w:eastAsia="方正大标宋简体" w:hAnsiTheme="minorEastAsia"/>
          <w:sz w:val="44"/>
          <w:szCs w:val="44"/>
        </w:rPr>
      </w:pPr>
      <w:r>
        <w:rPr>
          <w:rFonts w:hint="eastAsia" w:ascii="方正大标宋简体" w:eastAsia="方正大标宋简体" w:hAnsiTheme="minorEastAsia"/>
          <w:sz w:val="44"/>
          <w:szCs w:val="44"/>
        </w:rPr>
        <w:t>北京证券交易所政府债券交易细则</w:t>
      </w:r>
    </w:p>
    <w:p>
      <w:pPr>
        <w:pStyle w:val="2"/>
        <w:spacing w:before="240" w:after="240" w:line="600" w:lineRule="exact"/>
      </w:pPr>
      <w:r>
        <w:rPr>
          <w:rFonts w:hint="eastAsia"/>
        </w:rPr>
        <w:t>第一章</w:t>
      </w:r>
      <w:r>
        <w:t xml:space="preserve">  </w:t>
      </w:r>
      <w:r>
        <w:rPr>
          <w:rFonts w:hint="eastAsia"/>
        </w:rPr>
        <w:t>总则</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为规范北京证券交易所（以下简称本所）债券交易行为，保护投资者合法权益，维护债券市场秩序，根据《北京证券交易所交易规则（试行）》等相关规定，制定本细则。</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托管</w:t>
      </w:r>
      <w:r>
        <w:rPr>
          <w:rFonts w:ascii="仿宋" w:hAnsi="仿宋" w:eastAsia="仿宋"/>
          <w:color w:val="000000"/>
          <w:sz w:val="32"/>
          <w:szCs w:val="32"/>
        </w:rPr>
        <w:t>在</w:t>
      </w:r>
      <w:r>
        <w:rPr>
          <w:rFonts w:hint="eastAsia" w:ascii="仿宋" w:hAnsi="仿宋" w:eastAsia="仿宋"/>
          <w:color w:val="000000"/>
          <w:sz w:val="32"/>
          <w:szCs w:val="32"/>
        </w:rPr>
        <w:t>中央国债登记结算有限责任公司（以下简称中央结算公司）的政府债券及本所认可的其他交易品种（以下简称债券），通过本所设立的交易平台进行的交易，适用本细则。</w:t>
      </w:r>
    </w:p>
    <w:p>
      <w:pPr>
        <w:pStyle w:val="9"/>
        <w:widowControl w:val="0"/>
        <w:shd w:val="clear" w:color="auto" w:fill="FFFFFF"/>
        <w:adjustRightInd w:val="0"/>
        <w:snapToGrid w:val="0"/>
        <w:spacing w:before="0" w:beforeAutospacing="0" w:after="0" w:afterAutospacing="0" w:line="600" w:lineRule="exact"/>
        <w:ind w:left="640"/>
        <w:jc w:val="both"/>
        <w:rPr>
          <w:rFonts w:ascii="仿宋" w:hAnsi="仿宋" w:eastAsia="仿宋"/>
          <w:color w:val="000000"/>
          <w:sz w:val="32"/>
          <w:szCs w:val="32"/>
        </w:rPr>
      </w:pPr>
      <w:r>
        <w:rPr>
          <w:rFonts w:hint="eastAsia" w:ascii="仿宋" w:hAnsi="仿宋" w:eastAsia="仿宋"/>
          <w:color w:val="000000"/>
          <w:sz w:val="32"/>
          <w:szCs w:val="32"/>
        </w:rPr>
        <w:t>本细则未作规定的，适用本所其他</w:t>
      </w:r>
      <w:r>
        <w:rPr>
          <w:rFonts w:ascii="仿宋" w:hAnsi="仿宋" w:eastAsia="仿宋"/>
          <w:color w:val="000000"/>
          <w:sz w:val="32"/>
          <w:szCs w:val="32"/>
        </w:rPr>
        <w:t>相关业务规则的规定</w:t>
      </w:r>
      <w:r>
        <w:rPr>
          <w:rFonts w:hint="eastAsia" w:ascii="仿宋" w:hAnsi="仿宋" w:eastAsia="仿宋"/>
          <w:color w:val="000000"/>
          <w:sz w:val="32"/>
          <w:szCs w:val="32"/>
        </w:rPr>
        <w:t>。</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本所为债券交易提供设施和相关服务，并依据本细则以及本所其他相关业务规则对债券交易相关的业务活动进行自律管理。</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债券投资者、为债券交易提供专业服务的机构及其相关人员等开展债券交易及相关业务，应当遵守法律、行政法规、部门规章、规范性文件、本所业务规则的规定，以及相关协议的约定，并接受本所自律管理。</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中央结算公司为本所债券交易提供登记、托管和结算服务，相关事项按照中央结算公司规则办理。</w:t>
      </w:r>
    </w:p>
    <w:p>
      <w:pPr>
        <w:pStyle w:val="2"/>
        <w:spacing w:before="240" w:after="240" w:line="600" w:lineRule="exact"/>
      </w:pPr>
      <w:r>
        <w:rPr>
          <w:rFonts w:hint="eastAsia"/>
        </w:rPr>
        <w:t>第二章</w:t>
      </w:r>
      <w:r>
        <w:t xml:space="preserve">  </w:t>
      </w:r>
      <w:r>
        <w:rPr>
          <w:rFonts w:hint="eastAsia"/>
        </w:rPr>
        <w:t>参与主体</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已在中央结算公司开立债券账户的投资者及本所认可的其他投资者，可以参与本所债券交易。</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符合本</w:t>
      </w:r>
      <w:r>
        <w:rPr>
          <w:rFonts w:hint="eastAsia" w:ascii="仿宋" w:hAnsi="仿宋" w:eastAsia="仿宋"/>
          <w:color w:val="000000"/>
          <w:sz w:val="32"/>
          <w:szCs w:val="32"/>
        </w:rPr>
        <w:t>细则</w:t>
      </w:r>
      <w:r>
        <w:rPr>
          <w:rFonts w:ascii="仿宋" w:hAnsi="仿宋" w:eastAsia="仿宋"/>
          <w:color w:val="000000"/>
          <w:sz w:val="32"/>
          <w:szCs w:val="32"/>
        </w:rPr>
        <w:t>第五条规定</w:t>
      </w:r>
      <w:r>
        <w:rPr>
          <w:rFonts w:ascii="仿宋" w:hAnsi="仿宋" w:eastAsia="仿宋"/>
          <w:color w:val="000000" w:themeColor="text1"/>
          <w:sz w:val="32"/>
          <w:szCs w:val="32"/>
          <w14:textFill>
            <w14:solidFill>
              <w14:schemeClr w14:val="tx1"/>
            </w14:solidFill>
          </w14:textFill>
        </w:rPr>
        <w:t>的</w:t>
      </w:r>
      <w:r>
        <w:rPr>
          <w:rFonts w:ascii="仿宋" w:hAnsi="仿宋" w:eastAsia="仿宋"/>
          <w:color w:val="000000"/>
          <w:sz w:val="32"/>
          <w:szCs w:val="32"/>
        </w:rPr>
        <w:t>法人类合格机构投资者</w:t>
      </w:r>
      <w:r>
        <w:rPr>
          <w:rFonts w:hint="eastAsia" w:ascii="仿宋" w:hAnsi="仿宋" w:eastAsia="仿宋"/>
          <w:color w:val="000000"/>
          <w:sz w:val="32"/>
          <w:szCs w:val="32"/>
        </w:rPr>
        <w:t>，</w:t>
      </w:r>
      <w:r>
        <w:rPr>
          <w:rFonts w:hint="eastAsia" w:ascii="仿宋" w:hAnsi="仿宋" w:eastAsia="仿宋"/>
          <w:color w:val="000000" w:themeColor="text1"/>
          <w:sz w:val="32"/>
          <w:szCs w:val="32"/>
          <w14:textFill>
            <w14:solidFill>
              <w14:schemeClr w14:val="tx1"/>
            </w14:solidFill>
          </w14:textFill>
        </w:rPr>
        <w:t>以及</w:t>
      </w:r>
      <w:r>
        <w:rPr>
          <w:rFonts w:ascii="仿宋" w:hAnsi="仿宋" w:eastAsia="仿宋"/>
          <w:color w:val="000000"/>
          <w:sz w:val="32"/>
          <w:szCs w:val="32"/>
        </w:rPr>
        <w:t>非法人类合格机构投资者的资产管理人</w:t>
      </w:r>
      <w:r>
        <w:rPr>
          <w:rFonts w:hint="eastAsia" w:ascii="仿宋" w:hAnsi="仿宋" w:eastAsia="仿宋"/>
          <w:color w:val="000000"/>
          <w:sz w:val="32"/>
          <w:szCs w:val="32"/>
        </w:rPr>
        <w:t>，</w:t>
      </w:r>
      <w:r>
        <w:rPr>
          <w:rFonts w:ascii="仿宋" w:hAnsi="仿宋" w:eastAsia="仿宋"/>
          <w:color w:val="000000"/>
          <w:sz w:val="32"/>
          <w:szCs w:val="32"/>
        </w:rPr>
        <w:t>可以根据本所相关规定申请开通</w:t>
      </w:r>
      <w:r>
        <w:rPr>
          <w:rFonts w:hint="eastAsia" w:ascii="仿宋" w:hAnsi="仿宋" w:eastAsia="仿宋"/>
          <w:color w:val="000000"/>
          <w:sz w:val="32"/>
          <w:szCs w:val="32"/>
        </w:rPr>
        <w:t>交易平台的</w:t>
      </w:r>
      <w:r>
        <w:rPr>
          <w:rFonts w:ascii="仿宋" w:hAnsi="仿宋" w:eastAsia="仿宋"/>
          <w:color w:val="000000"/>
          <w:sz w:val="32"/>
          <w:szCs w:val="32"/>
        </w:rPr>
        <w:t>交易权限</w:t>
      </w:r>
      <w:r>
        <w:rPr>
          <w:rFonts w:hint="eastAsia" w:ascii="仿宋" w:hAnsi="仿宋" w:eastAsia="仿宋"/>
          <w:color w:val="000000"/>
          <w:sz w:val="32"/>
          <w:szCs w:val="32"/>
        </w:rPr>
        <w:t>。</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参与</w:t>
      </w:r>
      <w:r>
        <w:rPr>
          <w:rFonts w:hint="eastAsia" w:ascii="仿宋" w:hAnsi="仿宋" w:eastAsia="仿宋"/>
          <w:color w:val="000000"/>
          <w:sz w:val="32"/>
          <w:szCs w:val="32"/>
        </w:rPr>
        <w:t>债券交易的机构，应当建立健全交易决策、执行、清算交收、财务核算、合规审查等内部控制制度，完善业务流程与技术手段，加强债券交易业务管理、合规管理和风险管理等内部管理。</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ascii="仿宋" w:hAnsi="仿宋" w:eastAsia="仿宋"/>
          <w:color w:val="000000"/>
          <w:sz w:val="32"/>
          <w:szCs w:val="32"/>
        </w:rPr>
        <w:t>参与</w:t>
      </w:r>
      <w:r>
        <w:rPr>
          <w:rFonts w:hint="eastAsia" w:ascii="仿宋" w:hAnsi="仿宋" w:eastAsia="仿宋"/>
          <w:color w:val="000000"/>
          <w:sz w:val="32"/>
          <w:szCs w:val="32"/>
        </w:rPr>
        <w:t>债券交易的机构应当将其债券自营、资产管理等各类债券交易业务分开办理，防范不同业务之间的利益冲突。</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ascii="仿宋" w:hAnsi="仿宋" w:eastAsia="仿宋"/>
          <w:color w:val="000000"/>
          <w:sz w:val="32"/>
          <w:szCs w:val="32"/>
        </w:rPr>
        <w:t>参与</w:t>
      </w:r>
      <w:r>
        <w:rPr>
          <w:rFonts w:hint="eastAsia" w:ascii="仿宋" w:hAnsi="仿宋" w:eastAsia="仿宋"/>
          <w:color w:val="000000"/>
          <w:sz w:val="32"/>
          <w:szCs w:val="32"/>
        </w:rPr>
        <w:t>债券交易的机构应当建立债券交易业务授权管理制度，加强债券交易人员管理，认可其交易人员开展的债券交易及其结果，并承担由此产生的责任。</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投资者应当建立多指标、差异化的债券现券交易价格比较基准体系，相关比较基准包括但不限于债券估值机构的估值以及本所认可的其他公允指标，本所另有规定的除外。</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债券现券交易价格偏离比较基准达到或超过本所规定范围的，投资者应当向本所提交关于价格偏离的原因以及合理性的说明。本所可根据实际情况，要求投资者以及相关主体就价格偏离的其他特殊情形提交相关说明。</w:t>
      </w:r>
    </w:p>
    <w:p>
      <w:pPr>
        <w:pStyle w:val="2"/>
        <w:spacing w:before="240" w:after="240" w:line="600" w:lineRule="exact"/>
      </w:pPr>
      <w:r>
        <w:rPr>
          <w:rFonts w:hint="eastAsia"/>
        </w:rPr>
        <w:t>第三章</w:t>
      </w:r>
      <w:r>
        <w:t xml:space="preserve">  </w:t>
      </w:r>
      <w:r>
        <w:rPr>
          <w:rFonts w:hint="eastAsia"/>
        </w:rPr>
        <w:t>债券交易</w:t>
      </w:r>
    </w:p>
    <w:p>
      <w:pPr>
        <w:pStyle w:val="3"/>
        <w:spacing w:before="240" w:after="240" w:line="600" w:lineRule="exact"/>
        <w:jc w:val="center"/>
        <w:rPr>
          <w:rFonts w:ascii="楷体" w:hAnsi="楷体" w:eastAsia="楷体"/>
          <w:b w:val="0"/>
        </w:rPr>
      </w:pPr>
      <w:r>
        <w:rPr>
          <w:rFonts w:hint="eastAsia" w:ascii="楷体" w:hAnsi="楷体" w:eastAsia="楷体"/>
          <w:b w:val="0"/>
        </w:rPr>
        <w:t>第一节</w:t>
      </w:r>
      <w:r>
        <w:rPr>
          <w:rFonts w:ascii="楷体" w:hAnsi="楷体" w:eastAsia="楷体"/>
          <w:b w:val="0"/>
        </w:rPr>
        <w:t xml:space="preserve"> </w:t>
      </w:r>
      <w:r>
        <w:rPr>
          <w:rFonts w:hint="eastAsia" w:ascii="楷体" w:hAnsi="楷体" w:eastAsia="楷体"/>
          <w:b w:val="0"/>
        </w:rPr>
        <w:t>一般规定</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在本所开展的债券交易可以采用协商成交以及本所认可的其他交易方式。</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本所债券交易日为每周一至周五，遇国家法定节假日调整除外。</w:t>
      </w:r>
    </w:p>
    <w:p>
      <w:pPr>
        <w:pStyle w:val="9"/>
        <w:widowControl w:val="0"/>
        <w:numPr>
          <w:ilvl w:val="255"/>
          <w:numId w:val="0"/>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根据市场需要，本所可以调整债券交易日，并向市场公告。</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olor w:val="000000"/>
          <w:sz w:val="32"/>
          <w:szCs w:val="32"/>
        </w:rPr>
        <w:t xml:space="preserve"> 债券的交易时间为每个交易日的</w:t>
      </w:r>
      <w:r>
        <w:rPr>
          <w:rFonts w:ascii="Times New Roman" w:hAnsi="Times New Roman" w:eastAsia="仿宋" w:cs="Times New Roman"/>
          <w:color w:val="000000"/>
          <w:sz w:val="32"/>
          <w:szCs w:val="32"/>
        </w:rPr>
        <w:t>9:00</w:t>
      </w:r>
      <w:r>
        <w:rPr>
          <w:rFonts w:hint="eastAsia" w:ascii="Times New Roman" w:hAnsi="Times New Roman" w:eastAsia="仿宋" w:cs="Times New Roman"/>
          <w:color w:val="000000"/>
          <w:sz w:val="32"/>
          <w:szCs w:val="32"/>
        </w:rPr>
        <w:t>至</w:t>
      </w:r>
      <w:r>
        <w:rPr>
          <w:rFonts w:ascii="Times New Roman" w:hAnsi="Times New Roman" w:eastAsia="仿宋" w:cs="Times New Roman"/>
          <w:color w:val="000000"/>
          <w:sz w:val="32"/>
          <w:szCs w:val="32"/>
        </w:rPr>
        <w:t>12:00</w:t>
      </w:r>
      <w:r>
        <w:rPr>
          <w:rFonts w:hint="eastAsia" w:ascii="Times New Roman" w:hAnsi="Times New Roman" w:eastAsia="仿宋" w:cs="Times New Roman"/>
          <w:color w:val="000000"/>
          <w:sz w:val="32"/>
          <w:szCs w:val="32"/>
        </w:rPr>
        <w:t>、</w:t>
      </w:r>
      <w:r>
        <w:rPr>
          <w:rFonts w:ascii="Times New Roman" w:hAnsi="Times New Roman" w:eastAsia="仿宋" w:cs="Times New Roman"/>
          <w:color w:val="000000"/>
          <w:sz w:val="32"/>
          <w:szCs w:val="32"/>
        </w:rPr>
        <w:t>13:30</w:t>
      </w:r>
      <w:r>
        <w:rPr>
          <w:rFonts w:hint="eastAsia" w:ascii="Times New Roman" w:hAnsi="Times New Roman" w:eastAsia="仿宋" w:cs="Times New Roman"/>
          <w:color w:val="000000"/>
          <w:sz w:val="32"/>
          <w:szCs w:val="32"/>
        </w:rPr>
        <w:t>至</w:t>
      </w:r>
      <w:r>
        <w:rPr>
          <w:rFonts w:ascii="Times New Roman" w:hAnsi="Times New Roman" w:eastAsia="仿宋" w:cs="Times New Roman"/>
          <w:color w:val="000000"/>
          <w:sz w:val="32"/>
          <w:szCs w:val="32"/>
        </w:rPr>
        <w:t>20:00</w:t>
      </w:r>
      <w:r>
        <w:rPr>
          <w:rFonts w:hint="eastAsia" w:ascii="Times New Roman" w:hAnsi="Times New Roman" w:eastAsia="仿宋" w:cs="Times New Roman"/>
          <w:color w:val="000000"/>
          <w:sz w:val="32"/>
          <w:szCs w:val="32"/>
        </w:rPr>
        <w:t>。</w:t>
      </w:r>
    </w:p>
    <w:p>
      <w:pPr>
        <w:pStyle w:val="9"/>
        <w:widowControl w:val="0"/>
        <w:shd w:val="clear" w:color="auto" w:fill="FFFFFF"/>
        <w:adjustRightInd w:val="0"/>
        <w:snapToGrid w:val="0"/>
        <w:spacing w:before="0" w:beforeAutospacing="0" w:after="0" w:afterAutospacing="0" w:line="600" w:lineRule="exact"/>
        <w:ind w:left="640"/>
        <w:jc w:val="both"/>
        <w:rPr>
          <w:rFonts w:ascii="仿宋" w:hAnsi="仿宋" w:eastAsia="仿宋"/>
          <w:color w:val="000000"/>
          <w:sz w:val="32"/>
          <w:szCs w:val="32"/>
        </w:rPr>
      </w:pPr>
      <w:r>
        <w:rPr>
          <w:rFonts w:hint="eastAsia" w:ascii="仿宋" w:hAnsi="仿宋" w:eastAsia="仿宋"/>
          <w:color w:val="000000"/>
          <w:sz w:val="32"/>
          <w:szCs w:val="32"/>
        </w:rPr>
        <w:t>交易时间内因故停市的，交易时间不作顺延。</w:t>
      </w:r>
    </w:p>
    <w:p>
      <w:pPr>
        <w:pStyle w:val="9"/>
        <w:widowControl w:val="0"/>
        <w:shd w:val="clear" w:color="auto" w:fill="FFFFFF"/>
        <w:adjustRightInd w:val="0"/>
        <w:snapToGrid w:val="0"/>
        <w:spacing w:before="0" w:beforeAutospacing="0" w:after="0" w:afterAutospacing="0" w:line="600" w:lineRule="exact"/>
        <w:ind w:left="640"/>
        <w:jc w:val="both"/>
        <w:rPr>
          <w:rFonts w:ascii="仿宋" w:hAnsi="仿宋" w:eastAsia="仿宋"/>
          <w:color w:val="000000"/>
          <w:sz w:val="32"/>
          <w:szCs w:val="32"/>
        </w:rPr>
      </w:pPr>
      <w:r>
        <w:rPr>
          <w:rFonts w:hint="eastAsia" w:ascii="仿宋" w:hAnsi="仿宋" w:eastAsia="仿宋"/>
          <w:color w:val="000000"/>
          <w:sz w:val="32"/>
          <w:szCs w:val="32"/>
        </w:rPr>
        <w:t>根据市场发展需要，本所可以调整债券交易时间。</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债券现券交易实行当日回转交易，投资者当日买入的债券可以在当日卖出。</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w:t>
      </w:r>
      <w:r>
        <w:rPr>
          <w:rFonts w:ascii="Times New Roman" w:hAnsi="Times New Roman" w:eastAsia="仿宋" w:cs="Times New Roman"/>
          <w:color w:val="000000"/>
          <w:sz w:val="32"/>
          <w:szCs w:val="32"/>
        </w:rPr>
        <w:t>债券</w:t>
      </w:r>
      <w:r>
        <w:rPr>
          <w:rFonts w:hint="eastAsia" w:ascii="Times New Roman" w:hAnsi="Times New Roman" w:eastAsia="仿宋" w:cs="Times New Roman"/>
          <w:color w:val="000000"/>
          <w:sz w:val="32"/>
          <w:szCs w:val="32"/>
        </w:rPr>
        <w:t>现券的</w:t>
      </w:r>
      <w:r>
        <w:rPr>
          <w:rFonts w:ascii="Times New Roman" w:hAnsi="Times New Roman" w:eastAsia="仿宋" w:cs="Times New Roman"/>
          <w:color w:val="000000"/>
          <w:sz w:val="32"/>
          <w:szCs w:val="32"/>
        </w:rPr>
        <w:t>申报数量应当</w:t>
      </w:r>
      <w:r>
        <w:rPr>
          <w:rFonts w:hint="eastAsia" w:ascii="Times New Roman" w:hAnsi="Times New Roman" w:eastAsia="仿宋" w:cs="Times New Roman"/>
          <w:color w:val="000000"/>
          <w:sz w:val="32"/>
          <w:szCs w:val="32"/>
        </w:rPr>
        <w:t>为</w:t>
      </w:r>
      <w:r>
        <w:rPr>
          <w:rFonts w:ascii="Times New Roman" w:hAnsi="Times New Roman" w:eastAsia="仿宋" w:cs="Times New Roman"/>
          <w:color w:val="000000"/>
          <w:sz w:val="32"/>
          <w:szCs w:val="32"/>
        </w:rPr>
        <w:t>1000元面额</w:t>
      </w:r>
      <w:r>
        <w:rPr>
          <w:rFonts w:hint="eastAsia" w:ascii="Times New Roman" w:hAnsi="Times New Roman" w:eastAsia="仿宋" w:cs="Times New Roman"/>
          <w:color w:val="000000"/>
          <w:sz w:val="32"/>
          <w:szCs w:val="32"/>
        </w:rPr>
        <w:t>或者其</w:t>
      </w:r>
      <w:r>
        <w:rPr>
          <w:rFonts w:hint="eastAsia" w:ascii="仿宋" w:hAnsi="仿宋" w:eastAsia="仿宋"/>
          <w:color w:val="000000"/>
          <w:sz w:val="32"/>
          <w:szCs w:val="32"/>
        </w:rPr>
        <w:t>整数</w:t>
      </w:r>
      <w:r>
        <w:rPr>
          <w:rFonts w:ascii="Times New Roman" w:hAnsi="Times New Roman" w:eastAsia="仿宋" w:cs="Times New Roman"/>
          <w:color w:val="000000"/>
          <w:sz w:val="32"/>
          <w:szCs w:val="32"/>
        </w:rPr>
        <w:t>倍</w:t>
      </w:r>
      <w:r>
        <w:rPr>
          <w:rFonts w:hint="eastAsia" w:ascii="Times New Roman" w:hAnsi="Times New Roman" w:eastAsia="仿宋" w:cs="Times New Roman"/>
          <w:color w:val="000000"/>
          <w:sz w:val="32"/>
          <w:szCs w:val="32"/>
        </w:rPr>
        <w:t>，卖出时不足1000元面额的部分，应当一次性申报卖出。</w:t>
      </w:r>
      <w:r>
        <w:rPr>
          <w:rFonts w:ascii="Times New Roman" w:hAnsi="Times New Roman" w:eastAsia="仿宋" w:cs="Times New Roman"/>
          <w:color w:val="000000"/>
          <w:sz w:val="32"/>
          <w:szCs w:val="32"/>
        </w:rPr>
        <w:t>债券交易的</w:t>
      </w:r>
      <w:r>
        <w:rPr>
          <w:rFonts w:hint="eastAsia" w:ascii="仿宋" w:hAnsi="仿宋" w:eastAsia="仿宋"/>
          <w:color w:val="000000"/>
          <w:sz w:val="32"/>
          <w:szCs w:val="32"/>
        </w:rPr>
        <w:t>单笔最大申报数量不得超过</w:t>
      </w:r>
      <w:r>
        <w:rPr>
          <w:rFonts w:ascii="Times New Roman" w:hAnsi="Times New Roman" w:eastAsia="仿宋" w:cs="Times New Roman"/>
          <w:color w:val="000000"/>
          <w:sz w:val="32"/>
          <w:szCs w:val="32"/>
        </w:rPr>
        <w:t>1000</w:t>
      </w:r>
      <w:r>
        <w:rPr>
          <w:rFonts w:hint="eastAsia" w:ascii="仿宋" w:hAnsi="仿宋" w:eastAsia="仿宋"/>
          <w:color w:val="000000"/>
          <w:sz w:val="32"/>
          <w:szCs w:val="32"/>
        </w:rPr>
        <w:t>亿元面额。</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本所可以根据市场发展需要，调整债券交易申报数量要求。</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债券现券交易申报的价格单位为“每百元面额债券的价格”，本所另有规定的除外。</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olor w:val="000000"/>
          <w:sz w:val="32"/>
          <w:szCs w:val="32"/>
        </w:rPr>
        <w:t xml:space="preserve"> 债券交易的申报价格最小变动单位为</w:t>
      </w:r>
      <w:r>
        <w:rPr>
          <w:rFonts w:ascii="Times New Roman" w:hAnsi="Times New Roman" w:eastAsia="仿宋" w:cs="Times New Roman"/>
          <w:color w:val="000000"/>
          <w:sz w:val="32"/>
          <w:szCs w:val="32"/>
        </w:rPr>
        <w:t>0.0001元</w:t>
      </w:r>
      <w:r>
        <w:rPr>
          <w:rFonts w:hint="eastAsia" w:ascii="Times New Roman" w:hAnsi="Times New Roman" w:eastAsia="仿宋" w:cs="Times New Roman"/>
          <w:color w:val="000000"/>
          <w:sz w:val="32"/>
          <w:szCs w:val="32"/>
        </w:rPr>
        <w:t>。</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本所可以根据市场发展需要，调整申报价格最小变动单位。</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olor w:val="000000"/>
          <w:sz w:val="32"/>
          <w:szCs w:val="32"/>
        </w:rPr>
        <w:t xml:space="preserve"> 债券现券交易采用净价价格进行申报，本所另有规定的除外。</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净价价格是指不含当期应计利息的价格。</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olor w:val="000000"/>
          <w:sz w:val="32"/>
          <w:szCs w:val="32"/>
        </w:rPr>
        <w:t xml:space="preserve"> </w:t>
      </w:r>
      <w:r>
        <w:rPr>
          <w:rFonts w:hint="eastAsia" w:ascii="Times New Roman" w:hAnsi="Times New Roman" w:eastAsia="仿宋" w:cs="Times New Roman"/>
          <w:color w:val="000000"/>
          <w:sz w:val="32"/>
          <w:szCs w:val="32"/>
        </w:rPr>
        <w:t>债券交易不设价格涨跌幅限制，本所另有规定的除外。</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债券交易采取实时逐笔全额结算方式。投资者可以选择结算周期，债券现券交易结算日可以为交易当</w:t>
      </w:r>
      <w:r>
        <w:rPr>
          <w:rFonts w:ascii="Times New Roman" w:hAnsi="Times New Roman" w:eastAsia="仿宋" w:cs="Times New Roman"/>
          <w:color w:val="000000"/>
          <w:sz w:val="32"/>
          <w:szCs w:val="32"/>
        </w:rPr>
        <w:t>日（T+0）或交易当日的</w:t>
      </w:r>
      <w:r>
        <w:rPr>
          <w:rFonts w:hint="eastAsia" w:ascii="Times New Roman" w:hAnsi="Times New Roman" w:eastAsia="仿宋" w:cs="Times New Roman"/>
          <w:color w:val="000000"/>
          <w:sz w:val="32"/>
          <w:szCs w:val="32"/>
        </w:rPr>
        <w:t>次一交易日（</w:t>
      </w:r>
      <w:r>
        <w:rPr>
          <w:rFonts w:ascii="Times New Roman" w:hAnsi="Times New Roman" w:eastAsia="仿宋" w:cs="Times New Roman"/>
          <w:color w:val="000000"/>
          <w:sz w:val="32"/>
          <w:szCs w:val="32"/>
        </w:rPr>
        <w:t>T+1</w:t>
      </w:r>
      <w:r>
        <w:rPr>
          <w:rFonts w:hint="eastAsia" w:ascii="Times New Roman" w:hAnsi="Times New Roman" w:eastAsia="仿宋" w:cs="Times New Roman"/>
          <w:color w:val="000000"/>
          <w:sz w:val="32"/>
          <w:szCs w:val="32"/>
        </w:rPr>
        <w:t>）。</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ascii="Times New Roman" w:hAnsi="Times New Roman" w:eastAsia="仿宋" w:cs="Times New Roman"/>
          <w:color w:val="000000"/>
          <w:sz w:val="32"/>
          <w:szCs w:val="32"/>
        </w:rPr>
        <w:t>16:50</w:t>
      </w:r>
      <w:r>
        <w:rPr>
          <w:rFonts w:hint="eastAsia" w:ascii="Times New Roman" w:hAnsi="Times New Roman" w:eastAsia="仿宋" w:cs="Times New Roman"/>
          <w:color w:val="000000"/>
          <w:sz w:val="32"/>
          <w:szCs w:val="32"/>
        </w:rPr>
        <w:t>至</w:t>
      </w:r>
      <w:r>
        <w:rPr>
          <w:rFonts w:ascii="Times New Roman" w:hAnsi="Times New Roman" w:eastAsia="仿宋" w:cs="Times New Roman"/>
          <w:color w:val="000000"/>
          <w:sz w:val="32"/>
          <w:szCs w:val="32"/>
        </w:rPr>
        <w:t>20:00</w:t>
      </w:r>
      <w:r>
        <w:rPr>
          <w:rFonts w:hint="eastAsia" w:ascii="Times New Roman" w:hAnsi="Times New Roman" w:eastAsia="仿宋" w:cs="Times New Roman"/>
          <w:color w:val="000000"/>
          <w:sz w:val="32"/>
          <w:szCs w:val="32"/>
        </w:rPr>
        <w:t>申报的债券现券交易，结算日不得为交易当日（</w:t>
      </w:r>
      <w:r>
        <w:rPr>
          <w:rFonts w:ascii="Times New Roman" w:hAnsi="Times New Roman" w:eastAsia="仿宋" w:cs="Times New Roman"/>
          <w:color w:val="000000"/>
          <w:sz w:val="32"/>
          <w:szCs w:val="32"/>
        </w:rPr>
        <w:t>T+0</w:t>
      </w:r>
      <w:r>
        <w:rPr>
          <w:rFonts w:hint="eastAsia" w:ascii="Times New Roman" w:hAnsi="Times New Roman" w:eastAsia="仿宋" w:cs="Times New Roman"/>
          <w:color w:val="000000"/>
          <w:sz w:val="32"/>
          <w:szCs w:val="32"/>
        </w:rPr>
        <w:t>）</w:t>
      </w:r>
      <w:r>
        <w:rPr>
          <w:rFonts w:hint="eastAsia" w:ascii="仿宋" w:hAnsi="仿宋" w:eastAsia="仿宋"/>
          <w:color w:val="000000"/>
          <w:sz w:val="32"/>
          <w:szCs w:val="32"/>
        </w:rPr>
        <w:t>。</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当日提交的债券交易申报当日有效，本所另有规定的除外。</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在</w:t>
      </w:r>
      <w:r>
        <w:rPr>
          <w:rFonts w:ascii="仿宋" w:hAnsi="仿宋" w:eastAsia="仿宋"/>
          <w:color w:val="000000"/>
          <w:sz w:val="32"/>
          <w:szCs w:val="32"/>
        </w:rPr>
        <w:t>本所接</w:t>
      </w:r>
      <w:r>
        <w:rPr>
          <w:rFonts w:hint="eastAsia" w:ascii="仿宋" w:hAnsi="仿宋" w:eastAsia="仿宋"/>
          <w:color w:val="000000"/>
          <w:sz w:val="32"/>
          <w:szCs w:val="32"/>
        </w:rPr>
        <w:t>受</w:t>
      </w:r>
      <w:r>
        <w:rPr>
          <w:rFonts w:ascii="仿宋" w:hAnsi="仿宋" w:eastAsia="仿宋"/>
          <w:color w:val="000000"/>
          <w:sz w:val="32"/>
          <w:szCs w:val="32"/>
        </w:rPr>
        <w:t>申报的时间内，</w:t>
      </w:r>
      <w:r>
        <w:rPr>
          <w:rFonts w:hint="eastAsia" w:ascii="仿宋" w:hAnsi="仿宋" w:eastAsia="仿宋"/>
          <w:color w:val="000000"/>
          <w:sz w:val="32"/>
          <w:szCs w:val="32"/>
        </w:rPr>
        <w:t>未成交申报可以撤销。撤销指令经交易平台确认方为有效。</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投资者</w:t>
      </w:r>
      <w:r>
        <w:rPr>
          <w:rFonts w:hint="eastAsia" w:ascii="仿宋" w:hAnsi="仿宋" w:eastAsia="仿宋"/>
          <w:color w:val="000000"/>
          <w:sz w:val="32"/>
          <w:szCs w:val="32"/>
        </w:rPr>
        <w:t>应当对其向本所发出的申报指令的合法性、真实性、准确性及完整性负责并承担相应的法律责任。</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交易申报经交易平台确认成交后，交易即告成立。符合本细则达成的债券交易于成立时生效，成交结果以交易平台记录的成交数据为准。交易双方应当承认交易结果，履行清算交收义务。本所另有规定的除外。</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交易申报经交易平台确认成交后，交易平台根据交易双方达成的交易要素自动生成成交单。成交单上载有成交日期、交易双方机构信息和账户信息、证券代码、证券简称、净价、成交数量、成交金额、应计利息、全价、结算金额、结算方式等内容。</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投资者因技术故障等原因无法向交易平台发送交易申报的，可以通过本所提供的其他辅助申报方式向本所提交应急申报。</w:t>
      </w:r>
    </w:p>
    <w:p>
      <w:pPr>
        <w:pStyle w:val="9"/>
        <w:widowControl w:val="0"/>
        <w:numPr>
          <w:ilvl w:val="255"/>
          <w:numId w:val="0"/>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本所根据应急申报进行成交确认的，交易双方应当承认成交结果，履行清算交收义务。</w:t>
      </w:r>
    </w:p>
    <w:p>
      <w:pPr>
        <w:pStyle w:val="3"/>
        <w:spacing w:before="240" w:after="240" w:line="600" w:lineRule="exact"/>
        <w:jc w:val="center"/>
        <w:rPr>
          <w:rFonts w:ascii="楷体" w:hAnsi="楷体" w:eastAsia="楷体"/>
          <w:b w:val="0"/>
        </w:rPr>
      </w:pPr>
      <w:r>
        <w:rPr>
          <w:rFonts w:hint="eastAsia" w:ascii="楷体" w:hAnsi="楷体" w:eastAsia="楷体"/>
          <w:b w:val="0"/>
        </w:rPr>
        <w:t>第二节</w:t>
      </w:r>
      <w:r>
        <w:rPr>
          <w:rFonts w:ascii="楷体" w:hAnsi="楷体" w:eastAsia="楷体"/>
          <w:b w:val="0"/>
        </w:rPr>
        <w:t xml:space="preserve"> </w:t>
      </w:r>
      <w:r>
        <w:rPr>
          <w:rFonts w:hint="eastAsia" w:ascii="楷体" w:hAnsi="楷体" w:eastAsia="楷体"/>
          <w:b w:val="0"/>
        </w:rPr>
        <w:t>协商成交</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本细则所称协商成交是指债券投资者之间通过协商等方式达成债券交易意向，并向交易平台申报，经交易平台确认成交的交易方式。</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债券投资者可以按照法律法规、部门规章、规范性文件和本所相关规定及内部风险控制要求，委托中介服务机构或者自行寻找交易对手，按照债券交易成交原则就债券交易要素协商达成一致。</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olor w:val="000000"/>
          <w:sz w:val="32"/>
          <w:szCs w:val="32"/>
        </w:rPr>
        <w:t xml:space="preserve"> </w:t>
      </w:r>
      <w:r>
        <w:rPr>
          <w:rFonts w:hint="eastAsia" w:ascii="Times New Roman" w:hAnsi="Times New Roman" w:eastAsia="仿宋" w:cs="Times New Roman"/>
          <w:color w:val="000000"/>
          <w:sz w:val="32"/>
          <w:szCs w:val="32"/>
        </w:rPr>
        <w:t>协商成交的</w:t>
      </w:r>
      <w:r>
        <w:rPr>
          <w:rFonts w:ascii="Times New Roman" w:hAnsi="Times New Roman" w:eastAsia="仿宋" w:cs="Times New Roman"/>
          <w:color w:val="000000"/>
          <w:sz w:val="32"/>
          <w:szCs w:val="32"/>
        </w:rPr>
        <w:t>申报</w:t>
      </w:r>
      <w:r>
        <w:rPr>
          <w:rFonts w:hint="eastAsia" w:ascii="Times New Roman" w:hAnsi="Times New Roman" w:eastAsia="仿宋" w:cs="Times New Roman"/>
          <w:color w:val="000000"/>
          <w:sz w:val="32"/>
          <w:szCs w:val="32"/>
        </w:rPr>
        <w:t>要素应当包括证券代码、交易方向、价格、数量、本方及对手方信息、债券账户号码、结算周期等内容。</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协商成交交易按照双方协商一致的价格、数量、结算周期等要素成交。交易一方将协商一致的交易要素通过交易平台发送给交易对手方，经交易对手方确认后，由交易平台确认成交。</w:t>
      </w:r>
    </w:p>
    <w:p>
      <w:pPr>
        <w:pStyle w:val="2"/>
        <w:spacing w:before="240" w:after="240" w:line="600" w:lineRule="exact"/>
      </w:pPr>
      <w:r>
        <w:rPr>
          <w:rFonts w:hint="eastAsia"/>
        </w:rPr>
        <w:t>第四章</w:t>
      </w:r>
      <w:r>
        <w:t xml:space="preserve">  其他交易事项</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债券交易出现价格异常大幅波动，对相关债券合理定价产生重大不利影响，以及其他严重影响本所债券交易秩序情形的，本所可以视情况对相关债券实施停牌。相关情形消除后，本所予以复牌。</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债券分期偿还采取减少面额方式的，按照以下规定办理：</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仿宋" w:hAnsi="仿宋" w:eastAsia="仿宋" w:cs="Times New Roman"/>
          <w:color w:val="000000"/>
          <w:sz w:val="32"/>
          <w:szCs w:val="32"/>
        </w:rPr>
        <w:t>（一）债券持仓数量保持不变，债券实际面额根据已偿还比例相应减少，计算公式为：实际面</w:t>
      </w:r>
      <w:r>
        <w:rPr>
          <w:rFonts w:hint="eastAsia" w:ascii="Times New Roman" w:hAnsi="Times New Roman" w:eastAsia="仿宋" w:cs="Times New Roman"/>
          <w:color w:val="000000"/>
          <w:sz w:val="32"/>
          <w:szCs w:val="32"/>
        </w:rPr>
        <w:t>额</w:t>
      </w:r>
      <w:r>
        <w:rPr>
          <w:rFonts w:ascii="Times New Roman" w:hAnsi="Times New Roman" w:eastAsia="仿宋" w:cs="Times New Roman"/>
          <w:color w:val="000000"/>
          <w:sz w:val="32"/>
          <w:szCs w:val="32"/>
        </w:rPr>
        <w:t>=100</w:t>
      </w:r>
      <w:r>
        <w:rPr>
          <w:rFonts w:hint="eastAsia" w:ascii="Times New Roman" w:hAnsi="Times New Roman" w:eastAsia="仿宋" w:cs="Times New Roman"/>
          <w:color w:val="000000"/>
          <w:sz w:val="32"/>
          <w:szCs w:val="32"/>
        </w:rPr>
        <w:t>元×未偿还比例；</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（二）本所在权益登记日次一交易日作除权处理</w:t>
      </w:r>
      <w:r>
        <w:rPr>
          <w:rFonts w:hint="eastAsia" w:ascii="Times New Roman" w:hAnsi="Times New Roman" w:eastAsia="仿宋" w:cs="Times New Roman"/>
          <w:color w:val="000000"/>
          <w:sz w:val="32"/>
          <w:szCs w:val="32"/>
          <w:lang w:eastAsia="zh-CN"/>
        </w:rPr>
        <w:t>，</w:t>
      </w:r>
      <w:r>
        <w:rPr>
          <w:rFonts w:hint="eastAsia" w:ascii="Times New Roman" w:hAnsi="Times New Roman" w:eastAsia="仿宋" w:cs="Times New Roman"/>
          <w:color w:val="000000"/>
          <w:sz w:val="32"/>
          <w:szCs w:val="32"/>
        </w:rPr>
        <w:t>除权参考价</w:t>
      </w:r>
      <w:r>
        <w:rPr>
          <w:rFonts w:ascii="Times New Roman" w:hAnsi="Times New Roman" w:eastAsia="仿宋" w:cs="Times New Roman"/>
          <w:color w:val="000000"/>
          <w:sz w:val="32"/>
          <w:szCs w:val="32"/>
        </w:rPr>
        <w:t>=</w:t>
      </w:r>
      <w:r>
        <w:rPr>
          <w:rFonts w:hint="eastAsia" w:ascii="Times New Roman" w:hAnsi="Times New Roman" w:eastAsia="仿宋" w:cs="Times New Roman"/>
          <w:color w:val="000000"/>
          <w:sz w:val="32"/>
          <w:szCs w:val="32"/>
        </w:rPr>
        <w:t>前收盘价</w:t>
      </w:r>
      <w:r>
        <w:rPr>
          <w:rFonts w:ascii="Times New Roman" w:hAnsi="Times New Roman" w:eastAsia="仿宋" w:cs="Times New Roman"/>
          <w:color w:val="000000"/>
          <w:sz w:val="32"/>
          <w:szCs w:val="32"/>
        </w:rPr>
        <w:t>-100</w:t>
      </w:r>
      <w:r>
        <w:rPr>
          <w:rFonts w:hint="eastAsia" w:ascii="Times New Roman" w:hAnsi="Times New Roman" w:eastAsia="仿宋" w:cs="Times New Roman"/>
          <w:color w:val="000000"/>
          <w:sz w:val="32"/>
          <w:szCs w:val="32"/>
        </w:rPr>
        <w:t>元×本次偿还比例；</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（三）除权日即时行情中显示的该债券的前收盘价为除权参考价，本所另有规定的除外。</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s="Times New Roman"/>
          <w:color w:val="000000"/>
          <w:sz w:val="32"/>
          <w:szCs w:val="32"/>
        </w:rPr>
      </w:pPr>
      <w:r>
        <w:rPr>
          <w:rFonts w:hint="eastAsia" w:ascii="仿宋" w:hAnsi="仿宋" w:eastAsia="仿宋" w:cs="Times New Roman"/>
          <w:color w:val="000000"/>
          <w:sz w:val="32"/>
          <w:szCs w:val="32"/>
        </w:rPr>
        <w:t xml:space="preserve"> 本所向市场发布债券基础信息、债券交易成交信息等信息。</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w:t>
      </w:r>
      <w:r>
        <w:rPr>
          <w:rFonts w:ascii="仿宋" w:hAnsi="仿宋" w:eastAsia="仿宋"/>
          <w:color w:val="000000"/>
          <w:sz w:val="32"/>
          <w:szCs w:val="32"/>
        </w:rPr>
        <w:t>本所实时发布债券</w:t>
      </w:r>
      <w:r>
        <w:rPr>
          <w:rFonts w:hint="eastAsia" w:ascii="仿宋" w:hAnsi="仿宋" w:eastAsia="仿宋"/>
          <w:color w:val="000000"/>
          <w:sz w:val="32"/>
          <w:szCs w:val="32"/>
        </w:rPr>
        <w:t>交易</w:t>
      </w:r>
      <w:r>
        <w:rPr>
          <w:rFonts w:ascii="仿宋" w:hAnsi="仿宋" w:eastAsia="仿宋"/>
          <w:color w:val="000000"/>
          <w:sz w:val="32"/>
          <w:szCs w:val="32"/>
        </w:rPr>
        <w:t>的即时成交行情和逐笔成交行情</w:t>
      </w:r>
      <w:r>
        <w:rPr>
          <w:rFonts w:hint="eastAsia" w:ascii="仿宋" w:hAnsi="仿宋" w:eastAsia="仿宋"/>
          <w:color w:val="000000"/>
          <w:sz w:val="32"/>
          <w:szCs w:val="32"/>
        </w:rPr>
        <w:t>。</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债券即时成交行情包括前收盘价、开盘价、最近成交价、当日最高成交价、当日最低成交价、当日加权平均价、当日累计成交数量、当日累计成交金额等。</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债券逐笔成交行情包括成交时间、成交价格、成交数量等。</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本所发布债券交易的开盘价和收盘价。</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开盘价为当日第一笔成交价格。收盘价为当日最后一笔成交价格；当日无成交的，以前收盘价为当日收盘价。债券上市首日，以该债券的发行价格作为前收盘价。</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根据市场发展需要，本所可以调整开盘价及收盘价计算方法。</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本所或者本所授权机构可以编制各类债券收益率曲线，以反映债券总体收益率水平，并及时向市场发布。</w:t>
      </w:r>
    </w:p>
    <w:p>
      <w:pPr>
        <w:pStyle w:val="9"/>
        <w:widowControl w:val="0"/>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债券收益率曲线设置和编制的具体方案由本所另行规定。</w:t>
      </w:r>
    </w:p>
    <w:p>
      <w:pPr>
        <w:pStyle w:val="2"/>
        <w:spacing w:before="240" w:after="240" w:line="600" w:lineRule="exact"/>
      </w:pPr>
      <w:r>
        <w:rPr>
          <w:rFonts w:hint="eastAsia"/>
        </w:rPr>
        <w:t>第</w:t>
      </w:r>
      <w:r>
        <w:t>五</w:t>
      </w:r>
      <w:r>
        <w:rPr>
          <w:rFonts w:hint="eastAsia"/>
        </w:rPr>
        <w:t>章</w:t>
      </w:r>
      <w:r>
        <w:t xml:space="preserve">  </w:t>
      </w:r>
      <w:r>
        <w:rPr>
          <w:rFonts w:hint="eastAsia"/>
        </w:rPr>
        <w:t>附则</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本细则相关术语的含义：</w:t>
      </w:r>
    </w:p>
    <w:p>
      <w:pPr>
        <w:pStyle w:val="9"/>
        <w:widowControl w:val="0"/>
        <w:numPr>
          <w:ilvl w:val="255"/>
          <w:numId w:val="0"/>
        </w:numPr>
        <w:shd w:val="clear" w:color="auto" w:fill="FFFFFF"/>
        <w:adjustRightInd w:val="0"/>
        <w:snapToGrid w:val="0"/>
        <w:spacing w:before="0" w:beforeAutospacing="0" w:after="0" w:afterAutospacing="0" w:line="60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（一）债券现券交易：指交易双方以一定的价格转让债券所有权的交易行为</w:t>
      </w:r>
      <w:r>
        <w:rPr>
          <w:rFonts w:hint="eastAsia" w:ascii="仿宋" w:hAnsi="仿宋" w:eastAsia="仿宋"/>
          <w:color w:val="000000"/>
          <w:sz w:val="32"/>
          <w:szCs w:val="32"/>
          <w:lang w:eastAsia="zh-CN"/>
        </w:rPr>
        <w:t>；</w:t>
      </w:r>
    </w:p>
    <w:p>
      <w:pPr>
        <w:pStyle w:val="9"/>
        <w:widowControl w:val="0"/>
        <w:numPr>
          <w:ilvl w:val="255"/>
          <w:numId w:val="0"/>
        </w:numPr>
        <w:shd w:val="clear" w:color="auto" w:fill="FFFFFF"/>
        <w:adjustRightInd w:val="0"/>
        <w:snapToGrid w:val="0"/>
        <w:spacing w:before="0" w:beforeAutospacing="0" w:after="0" w:afterAutospacing="0" w:line="600" w:lineRule="exact"/>
        <w:ind w:firstLine="640" w:firstLineChars="200"/>
        <w:jc w:val="both"/>
        <w:rPr>
          <w:rFonts w:hint="eastAsia" w:ascii="仿宋" w:hAnsi="仿宋" w:eastAsia="仿宋"/>
          <w:color w:val="000000"/>
          <w:sz w:val="32"/>
          <w:szCs w:val="32"/>
          <w:lang w:eastAsia="zh-CN"/>
        </w:rPr>
      </w:pPr>
      <w:r>
        <w:rPr>
          <w:rFonts w:hint="eastAsia" w:ascii="仿宋" w:hAnsi="仿宋" w:eastAsia="仿宋"/>
          <w:color w:val="000000"/>
          <w:sz w:val="32"/>
          <w:szCs w:val="32"/>
        </w:rPr>
        <w:t>（二）应计利息：指债券自起息日或上次付息日起至债券交割日所计的利息，应计利息的计算依据中央结算公司相关规则确定</w:t>
      </w:r>
      <w:r>
        <w:rPr>
          <w:rFonts w:hint="eastAsia" w:ascii="仿宋" w:hAnsi="仿宋" w:eastAsia="仿宋"/>
          <w:color w:val="000000"/>
          <w:sz w:val="32"/>
          <w:szCs w:val="32"/>
          <w:lang w:eastAsia="zh-CN"/>
        </w:rPr>
        <w:t>；</w:t>
      </w:r>
    </w:p>
    <w:p>
      <w:pPr>
        <w:pStyle w:val="9"/>
        <w:widowControl w:val="0"/>
        <w:numPr>
          <w:ilvl w:val="255"/>
          <w:numId w:val="0"/>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（三）面额：如无特殊说明，债券面额均指债券发行时的面额。</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债券投资者应当按照规定向本所交纳债券交易相关费用。债券交易收费项目、收费标准见附表。</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本细则中所述时间，以本所交易平台的时间为准。</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本细则所称“超过”“不足”不含本数，“达到”含本数。</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color w:val="000000"/>
          <w:sz w:val="32"/>
          <w:szCs w:val="32"/>
        </w:rPr>
      </w:pPr>
      <w:r>
        <w:rPr>
          <w:rFonts w:hint="eastAsia" w:ascii="仿宋" w:hAnsi="仿宋" w:eastAsia="仿宋"/>
          <w:color w:val="000000"/>
          <w:sz w:val="32"/>
          <w:szCs w:val="32"/>
        </w:rPr>
        <w:t xml:space="preserve"> 本细则由本所负责解释。</w:t>
      </w:r>
    </w:p>
    <w:p>
      <w:pPr>
        <w:pStyle w:val="9"/>
        <w:widowControl w:val="0"/>
        <w:numPr>
          <w:ilvl w:val="1"/>
          <w:numId w:val="1"/>
        </w:numPr>
        <w:shd w:val="clear" w:color="auto" w:fill="FFFFFF"/>
        <w:adjustRightInd w:val="0"/>
        <w:snapToGrid w:val="0"/>
        <w:spacing w:before="0" w:beforeAutospacing="0" w:after="0" w:afterAutospacing="0" w:line="600" w:lineRule="exact"/>
        <w:ind w:firstLine="640" w:firstLineChars="200"/>
        <w:jc w:val="both"/>
        <w:rPr>
          <w:rFonts w:ascii="仿宋" w:hAnsi="仿宋" w:eastAsia="仿宋"/>
          <w:sz w:val="32"/>
          <w:szCs w:val="32"/>
        </w:rPr>
      </w:pPr>
      <w:r>
        <w:rPr>
          <w:rFonts w:hint="eastAsia" w:ascii="仿宋" w:hAnsi="仿宋" w:eastAsia="仿宋"/>
          <w:color w:val="000000"/>
          <w:sz w:val="32"/>
          <w:szCs w:val="32"/>
        </w:rPr>
        <w:t xml:space="preserve"> 本细则自发布之日起施行。</w:t>
      </w:r>
      <w:r>
        <w:rPr>
          <w:rFonts w:ascii="仿宋" w:hAnsi="仿宋" w:eastAsia="仿宋"/>
          <w:sz w:val="32"/>
          <w:szCs w:val="32"/>
        </w:rPr>
        <w:br w:type="page"/>
      </w:r>
    </w:p>
    <w:p>
      <w:pPr>
        <w:spacing w:line="600" w:lineRule="exact"/>
        <w:rPr>
          <w:rFonts w:ascii="黑体" w:hAnsi="黑体" w:eastAsia="黑体" w:cs="方正黑体_GBK"/>
          <w:sz w:val="32"/>
          <w:szCs w:val="32"/>
        </w:rPr>
      </w:pPr>
      <w:r>
        <w:rPr>
          <w:rFonts w:hint="eastAsia" w:ascii="黑体" w:hAnsi="黑体" w:eastAsia="黑体" w:cs="方正黑体_GBK"/>
          <w:sz w:val="32"/>
          <w:szCs w:val="32"/>
        </w:rPr>
        <w:t>附表</w:t>
      </w:r>
    </w:p>
    <w:p>
      <w:pPr>
        <w:spacing w:line="600" w:lineRule="exact"/>
        <w:rPr>
          <w:rFonts w:ascii="方正黑体_GBK" w:hAnsi="方正黑体_GBK" w:eastAsia="方正黑体_GBK" w:cs="方正黑体_GBK"/>
          <w:sz w:val="32"/>
          <w:szCs w:val="32"/>
        </w:rPr>
      </w:pPr>
    </w:p>
    <w:p>
      <w:pPr>
        <w:pStyle w:val="2"/>
        <w:spacing w:line="600" w:lineRule="exact"/>
        <w:rPr>
          <w:rFonts w:ascii="方正大标宋简体" w:eastAsia="方正大标宋简体"/>
          <w:sz w:val="44"/>
        </w:rPr>
      </w:pPr>
      <w:r>
        <w:rPr>
          <w:rFonts w:hint="eastAsia" w:ascii="方正大标宋简体" w:eastAsia="方正大标宋简体"/>
          <w:sz w:val="44"/>
        </w:rPr>
        <w:t>政府债券收费明细表</w:t>
      </w:r>
    </w:p>
    <w:tbl>
      <w:tblPr>
        <w:tblStyle w:val="12"/>
        <w:tblW w:w="9662"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2"/>
        <w:gridCol w:w="1538"/>
        <w:gridCol w:w="1775"/>
        <w:gridCol w:w="3137"/>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562" w:type="dxa"/>
            <w:vAlign w:val="center"/>
          </w:tcPr>
          <w:p>
            <w:pPr>
              <w:spacing w:line="6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收费对象</w:t>
            </w:r>
          </w:p>
        </w:tc>
        <w:tc>
          <w:tcPr>
            <w:tcW w:w="1538" w:type="dxa"/>
            <w:vAlign w:val="center"/>
          </w:tcPr>
          <w:p>
            <w:pPr>
              <w:spacing w:line="6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收费项目</w:t>
            </w:r>
          </w:p>
        </w:tc>
        <w:tc>
          <w:tcPr>
            <w:tcW w:w="1775" w:type="dxa"/>
            <w:vAlign w:val="center"/>
          </w:tcPr>
          <w:p>
            <w:pPr>
              <w:spacing w:line="6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收费标的</w:t>
            </w:r>
          </w:p>
        </w:tc>
        <w:tc>
          <w:tcPr>
            <w:tcW w:w="3137" w:type="dxa"/>
            <w:vAlign w:val="center"/>
          </w:tcPr>
          <w:p>
            <w:pPr>
              <w:spacing w:line="6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收费标准</w:t>
            </w:r>
          </w:p>
        </w:tc>
        <w:tc>
          <w:tcPr>
            <w:tcW w:w="1650" w:type="dxa"/>
            <w:vAlign w:val="center"/>
          </w:tcPr>
          <w:p>
            <w:pPr>
              <w:spacing w:line="600" w:lineRule="exact"/>
              <w:jc w:val="center"/>
              <w:rPr>
                <w:rFonts w:asciiTheme="minorEastAsia" w:hAnsiTheme="minorEastAsia" w:cstheme="minorEastAsia"/>
                <w:b/>
                <w:bCs/>
                <w:sz w:val="24"/>
                <w:szCs w:val="24"/>
              </w:rPr>
            </w:pPr>
            <w:r>
              <w:rPr>
                <w:rFonts w:hint="eastAsia" w:asciiTheme="minorEastAsia" w:hAnsiTheme="minorEastAsia" w:cstheme="minorEastAsia"/>
                <w:b/>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62"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投资者</w:t>
            </w:r>
          </w:p>
        </w:tc>
        <w:tc>
          <w:tcPr>
            <w:tcW w:w="1538"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交易经手费</w:t>
            </w:r>
          </w:p>
        </w:tc>
        <w:tc>
          <w:tcPr>
            <w:tcW w:w="1775"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政府债券</w:t>
            </w:r>
          </w:p>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现券交易</w:t>
            </w:r>
          </w:p>
        </w:tc>
        <w:tc>
          <w:tcPr>
            <w:tcW w:w="3137" w:type="dxa"/>
            <w:vAlign w:val="center"/>
          </w:tcPr>
          <w:p>
            <w:pPr>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按成交金额的</w:t>
            </w:r>
            <w:r>
              <w:rPr>
                <w:rFonts w:ascii="Times New Roman" w:hAnsi="Times New Roman" w:eastAsia="仿宋" w:cs="Times New Roman"/>
                <w:color w:val="000000"/>
                <w:kern w:val="0"/>
                <w:sz w:val="24"/>
                <w:szCs w:val="24"/>
              </w:rPr>
              <w:t>0.0001%</w:t>
            </w:r>
            <w:r>
              <w:rPr>
                <w:rFonts w:asciiTheme="minorEastAsia" w:hAnsiTheme="minorEastAsia" w:cstheme="minorEastAsia"/>
                <w:sz w:val="24"/>
                <w:szCs w:val="24"/>
              </w:rPr>
              <w:t>双</w:t>
            </w:r>
            <w:r>
              <w:rPr>
                <w:rFonts w:hint="eastAsia" w:asciiTheme="minorEastAsia" w:hAnsiTheme="minorEastAsia" w:cstheme="minorEastAsia"/>
                <w:color w:val="000000"/>
                <w:kern w:val="0"/>
                <w:sz w:val="24"/>
                <w:szCs w:val="24"/>
              </w:rPr>
              <w:t>向收取，单向每笔最高不超过</w:t>
            </w:r>
            <w:r>
              <w:rPr>
                <w:rFonts w:ascii="Times New Roman" w:hAnsi="Times New Roman" w:eastAsia="仿宋" w:cs="Times New Roman"/>
                <w:color w:val="000000"/>
                <w:kern w:val="0"/>
                <w:sz w:val="24"/>
                <w:szCs w:val="24"/>
              </w:rPr>
              <w:t>100</w:t>
            </w:r>
            <w:r>
              <w:rPr>
                <w:rFonts w:hint="eastAsia" w:asciiTheme="minorEastAsia" w:hAnsiTheme="minorEastAsia" w:cstheme="minorEastAsia"/>
                <w:color w:val="000000"/>
                <w:kern w:val="0"/>
                <w:sz w:val="24"/>
                <w:szCs w:val="24"/>
              </w:rPr>
              <w:t>元。</w:t>
            </w:r>
          </w:p>
        </w:tc>
        <w:tc>
          <w:tcPr>
            <w:tcW w:w="1650" w:type="dxa"/>
            <w:vAlign w:val="center"/>
          </w:tcPr>
          <w:p>
            <w:pPr>
              <w:spacing w:line="440" w:lineRule="exact"/>
              <w:jc w:val="left"/>
              <w:rPr>
                <w:rFonts w:asciiTheme="minorEastAsia" w:hAnsi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1562"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开通交易平台交易权限的机构</w:t>
            </w:r>
          </w:p>
        </w:tc>
        <w:tc>
          <w:tcPr>
            <w:tcW w:w="1538"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交易终端</w:t>
            </w:r>
          </w:p>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使用费</w:t>
            </w:r>
          </w:p>
        </w:tc>
        <w:tc>
          <w:tcPr>
            <w:tcW w:w="1775" w:type="dxa"/>
            <w:vAlign w:val="center"/>
          </w:tcPr>
          <w:p>
            <w:pPr>
              <w:spacing w:line="44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交易终端</w:t>
            </w:r>
          </w:p>
        </w:tc>
        <w:tc>
          <w:tcPr>
            <w:tcW w:w="3137" w:type="dxa"/>
            <w:vAlign w:val="center"/>
          </w:tcPr>
          <w:p>
            <w:pPr>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以互联网方式接入交易平台的交易终端按每月每台</w:t>
            </w:r>
            <w:r>
              <w:rPr>
                <w:rFonts w:ascii="Times New Roman" w:hAnsi="Times New Roman" w:eastAsia="仿宋" w:cs="Times New Roman"/>
                <w:color w:val="000000"/>
                <w:kern w:val="0"/>
                <w:sz w:val="24"/>
                <w:szCs w:val="24"/>
              </w:rPr>
              <w:t>1000</w:t>
            </w:r>
            <w:r>
              <w:rPr>
                <w:rFonts w:hint="eastAsia" w:asciiTheme="minorEastAsia" w:hAnsiTheme="minorEastAsia" w:cstheme="minorEastAsia"/>
                <w:sz w:val="24"/>
                <w:szCs w:val="24"/>
              </w:rPr>
              <w:t>元收取；</w:t>
            </w:r>
          </w:p>
          <w:p>
            <w:pPr>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以专线方式接入交易平台的交易终端按每月每台</w:t>
            </w:r>
            <w:r>
              <w:rPr>
                <w:rFonts w:ascii="Times New Roman" w:hAnsi="Times New Roman" w:eastAsia="仿宋" w:cs="Times New Roman"/>
                <w:color w:val="000000"/>
                <w:kern w:val="0"/>
                <w:sz w:val="24"/>
                <w:szCs w:val="24"/>
              </w:rPr>
              <w:t>3000</w:t>
            </w:r>
            <w:r>
              <w:rPr>
                <w:rFonts w:hint="eastAsia" w:asciiTheme="minorEastAsia" w:hAnsiTheme="minorEastAsia" w:cstheme="minorEastAsia"/>
                <w:sz w:val="24"/>
                <w:szCs w:val="24"/>
              </w:rPr>
              <w:t>元收取；</w:t>
            </w:r>
          </w:p>
          <w:p>
            <w:pPr>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交易终端使用费自终端开通后的次月开始收取。</w:t>
            </w:r>
          </w:p>
        </w:tc>
        <w:tc>
          <w:tcPr>
            <w:tcW w:w="1650" w:type="dxa"/>
            <w:vAlign w:val="center"/>
          </w:tcPr>
          <w:p>
            <w:pPr>
              <w:spacing w:line="440" w:lineRule="exact"/>
              <w:jc w:val="left"/>
              <w:rPr>
                <w:rFonts w:asciiTheme="minorEastAsia" w:hAnsiTheme="minorEastAsia" w:cstheme="minorEastAsia"/>
                <w:sz w:val="24"/>
                <w:szCs w:val="24"/>
              </w:rPr>
            </w:pPr>
            <w:r>
              <w:rPr>
                <w:rFonts w:hint="eastAsia" w:asciiTheme="minorEastAsia" w:hAnsiTheme="minorEastAsia" w:cstheme="minorEastAsia"/>
                <w:sz w:val="24"/>
                <w:szCs w:val="24"/>
              </w:rPr>
              <w:t>暂免收取。</w:t>
            </w:r>
          </w:p>
        </w:tc>
      </w:tr>
    </w:tbl>
    <w:p>
      <w:pPr>
        <w:spacing w:line="600" w:lineRule="exact"/>
        <w:rPr>
          <w:rFonts w:ascii="方正黑体_GBK" w:hAnsi="方正黑体_GBK" w:eastAsia="方正黑体_GBK" w:cs="方正黑体_GBK"/>
          <w:sz w:val="32"/>
          <w:szCs w:val="32"/>
        </w:rPr>
      </w:pPr>
    </w:p>
    <w:p>
      <w:pPr>
        <w:spacing w:line="600" w:lineRule="exact"/>
        <w:rPr>
          <w:rFonts w:ascii="仿宋" w:hAnsi="仿宋" w:eastAsia="仿宋"/>
          <w:sz w:val="32"/>
          <w:szCs w:val="32"/>
        </w:rPr>
      </w:pPr>
    </w:p>
    <w:sectPr>
      <w:footerReference r:id="rId3" w:type="default"/>
      <w:footerReference r:id="rId4" w:type="even"/>
      <w:pgSz w:w="11906" w:h="16838"/>
      <w:pgMar w:top="2098" w:right="1531" w:bottom="1985"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方正大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0322934"/>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ajorEastAsia" w:hAnsiTheme="majorEastAsia" w:eastAsiaTheme="majorEastAsia"/>
        <w:sz w:val="28"/>
        <w:szCs w:val="28"/>
      </w:rPr>
      <w:id w:val="-1530949744"/>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B9752C"/>
    <w:multiLevelType w:val="multilevel"/>
    <w:tmpl w:val="28B9752C"/>
    <w:lvl w:ilvl="0" w:tentative="0">
      <w:start w:val="1"/>
      <w:numFmt w:val="decimal"/>
      <w:suff w:val="space"/>
      <w:lvlText w:val="%1"/>
      <w:lvlJc w:val="left"/>
      <w:pPr>
        <w:ind w:left="0" w:firstLine="0"/>
      </w:pPr>
    </w:lvl>
    <w:lvl w:ilvl="1" w:tentative="0">
      <w:start w:val="1"/>
      <w:numFmt w:val="chineseCountingThousand"/>
      <w:suff w:val="space"/>
      <w:lvlText w:val="第%2条"/>
      <w:lvlJc w:val="left"/>
      <w:pPr>
        <w:ind w:left="0" w:firstLine="0"/>
      </w:pPr>
      <w:rPr>
        <w:rFonts w:hint="eastAsia" w:ascii="仿宋" w:hAnsi="Calibri" w:eastAsia="仿宋" w:cs="Times New Roman"/>
        <w:b/>
        <w:i w:val="0"/>
        <w:color w:val="auto"/>
        <w:sz w:val="32"/>
        <w:lang w:val="en-US"/>
      </w:rPr>
    </w:lvl>
    <w:lvl w:ilvl="2" w:tentative="0">
      <w:start w:val="1"/>
      <w:numFmt w:val="decimal"/>
      <w:suff w:val="nothing"/>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36B"/>
    <w:rsid w:val="00003762"/>
    <w:rsid w:val="00004D7C"/>
    <w:rsid w:val="00006537"/>
    <w:rsid w:val="00007E2F"/>
    <w:rsid w:val="00017288"/>
    <w:rsid w:val="0003000E"/>
    <w:rsid w:val="00032D72"/>
    <w:rsid w:val="00036153"/>
    <w:rsid w:val="00041E79"/>
    <w:rsid w:val="0004290C"/>
    <w:rsid w:val="00043837"/>
    <w:rsid w:val="00044601"/>
    <w:rsid w:val="00050407"/>
    <w:rsid w:val="000530BF"/>
    <w:rsid w:val="00054160"/>
    <w:rsid w:val="00062422"/>
    <w:rsid w:val="0006459D"/>
    <w:rsid w:val="00085CB6"/>
    <w:rsid w:val="00090346"/>
    <w:rsid w:val="00092184"/>
    <w:rsid w:val="00092D64"/>
    <w:rsid w:val="000963AB"/>
    <w:rsid w:val="000A0F4C"/>
    <w:rsid w:val="000A2776"/>
    <w:rsid w:val="000A351F"/>
    <w:rsid w:val="000A5B6F"/>
    <w:rsid w:val="000A6061"/>
    <w:rsid w:val="000D47EC"/>
    <w:rsid w:val="000D5A0F"/>
    <w:rsid w:val="000D73E3"/>
    <w:rsid w:val="000E2BBF"/>
    <w:rsid w:val="000F0B6B"/>
    <w:rsid w:val="001037B8"/>
    <w:rsid w:val="0010445E"/>
    <w:rsid w:val="001064C7"/>
    <w:rsid w:val="0011063E"/>
    <w:rsid w:val="00110BDF"/>
    <w:rsid w:val="001219DF"/>
    <w:rsid w:val="00127DB6"/>
    <w:rsid w:val="00132F73"/>
    <w:rsid w:val="00141434"/>
    <w:rsid w:val="00143AFD"/>
    <w:rsid w:val="00160D97"/>
    <w:rsid w:val="00162BF0"/>
    <w:rsid w:val="00164F95"/>
    <w:rsid w:val="001701CD"/>
    <w:rsid w:val="00171FF7"/>
    <w:rsid w:val="001730C0"/>
    <w:rsid w:val="0017424A"/>
    <w:rsid w:val="001742F6"/>
    <w:rsid w:val="00180734"/>
    <w:rsid w:val="00180BD0"/>
    <w:rsid w:val="00182148"/>
    <w:rsid w:val="001913E8"/>
    <w:rsid w:val="00197725"/>
    <w:rsid w:val="001A28E7"/>
    <w:rsid w:val="001B473D"/>
    <w:rsid w:val="001C0628"/>
    <w:rsid w:val="001C2927"/>
    <w:rsid w:val="001D0474"/>
    <w:rsid w:val="001D67BB"/>
    <w:rsid w:val="001E25C0"/>
    <w:rsid w:val="001E72E9"/>
    <w:rsid w:val="001F0ABC"/>
    <w:rsid w:val="001F17B9"/>
    <w:rsid w:val="001F2AB7"/>
    <w:rsid w:val="001F3D1C"/>
    <w:rsid w:val="00200545"/>
    <w:rsid w:val="0020136B"/>
    <w:rsid w:val="002020F6"/>
    <w:rsid w:val="00204301"/>
    <w:rsid w:val="00205516"/>
    <w:rsid w:val="0020584F"/>
    <w:rsid w:val="00205CAF"/>
    <w:rsid w:val="002062D2"/>
    <w:rsid w:val="00210D08"/>
    <w:rsid w:val="0021675B"/>
    <w:rsid w:val="00221C56"/>
    <w:rsid w:val="00221FA7"/>
    <w:rsid w:val="00223FAB"/>
    <w:rsid w:val="00226A3A"/>
    <w:rsid w:val="00234086"/>
    <w:rsid w:val="002366C0"/>
    <w:rsid w:val="0023748A"/>
    <w:rsid w:val="00237B30"/>
    <w:rsid w:val="002434B9"/>
    <w:rsid w:val="00244274"/>
    <w:rsid w:val="002457DB"/>
    <w:rsid w:val="002464BF"/>
    <w:rsid w:val="00247749"/>
    <w:rsid w:val="002620E0"/>
    <w:rsid w:val="00266C9C"/>
    <w:rsid w:val="00272C83"/>
    <w:rsid w:val="00273839"/>
    <w:rsid w:val="0027686E"/>
    <w:rsid w:val="00281E0C"/>
    <w:rsid w:val="002A1971"/>
    <w:rsid w:val="002B4719"/>
    <w:rsid w:val="002C23B2"/>
    <w:rsid w:val="002C5DE9"/>
    <w:rsid w:val="002D0830"/>
    <w:rsid w:val="002E1B9C"/>
    <w:rsid w:val="002F20B5"/>
    <w:rsid w:val="0030574A"/>
    <w:rsid w:val="00306A11"/>
    <w:rsid w:val="0030707E"/>
    <w:rsid w:val="003128C0"/>
    <w:rsid w:val="00315021"/>
    <w:rsid w:val="003233D6"/>
    <w:rsid w:val="00326A8F"/>
    <w:rsid w:val="00327B2D"/>
    <w:rsid w:val="003351EF"/>
    <w:rsid w:val="00342FB6"/>
    <w:rsid w:val="00353BC2"/>
    <w:rsid w:val="003575D9"/>
    <w:rsid w:val="00362348"/>
    <w:rsid w:val="00364691"/>
    <w:rsid w:val="00366F0D"/>
    <w:rsid w:val="00374DC5"/>
    <w:rsid w:val="003844AE"/>
    <w:rsid w:val="0038514A"/>
    <w:rsid w:val="00385BA4"/>
    <w:rsid w:val="003A64A2"/>
    <w:rsid w:val="003A7726"/>
    <w:rsid w:val="003B4173"/>
    <w:rsid w:val="003C1538"/>
    <w:rsid w:val="003D0806"/>
    <w:rsid w:val="003D1C9E"/>
    <w:rsid w:val="003D3E1F"/>
    <w:rsid w:val="003D40F3"/>
    <w:rsid w:val="003E42D2"/>
    <w:rsid w:val="003F7A26"/>
    <w:rsid w:val="00412391"/>
    <w:rsid w:val="00422B28"/>
    <w:rsid w:val="00426055"/>
    <w:rsid w:val="00432E94"/>
    <w:rsid w:val="00443B11"/>
    <w:rsid w:val="00443F1E"/>
    <w:rsid w:val="00444291"/>
    <w:rsid w:val="00450DD5"/>
    <w:rsid w:val="004533F0"/>
    <w:rsid w:val="00463F6B"/>
    <w:rsid w:val="00465099"/>
    <w:rsid w:val="00473A42"/>
    <w:rsid w:val="0047469B"/>
    <w:rsid w:val="0048620E"/>
    <w:rsid w:val="004A1AA1"/>
    <w:rsid w:val="004A42CD"/>
    <w:rsid w:val="004A63B5"/>
    <w:rsid w:val="004B00A4"/>
    <w:rsid w:val="004B2D83"/>
    <w:rsid w:val="004B569C"/>
    <w:rsid w:val="004C04E1"/>
    <w:rsid w:val="004C3138"/>
    <w:rsid w:val="004D1B40"/>
    <w:rsid w:val="004D2C4E"/>
    <w:rsid w:val="004D3C58"/>
    <w:rsid w:val="004E3122"/>
    <w:rsid w:val="004F1A30"/>
    <w:rsid w:val="004F2E73"/>
    <w:rsid w:val="004F7802"/>
    <w:rsid w:val="00510C85"/>
    <w:rsid w:val="00511486"/>
    <w:rsid w:val="00515094"/>
    <w:rsid w:val="00515601"/>
    <w:rsid w:val="00527CB8"/>
    <w:rsid w:val="00555D38"/>
    <w:rsid w:val="0056179E"/>
    <w:rsid w:val="005628B5"/>
    <w:rsid w:val="00570318"/>
    <w:rsid w:val="005705B6"/>
    <w:rsid w:val="0057195B"/>
    <w:rsid w:val="0059588D"/>
    <w:rsid w:val="00597F9F"/>
    <w:rsid w:val="005A2FDE"/>
    <w:rsid w:val="005A3B88"/>
    <w:rsid w:val="005A4733"/>
    <w:rsid w:val="005A4824"/>
    <w:rsid w:val="005A57DD"/>
    <w:rsid w:val="005A5897"/>
    <w:rsid w:val="005A6A50"/>
    <w:rsid w:val="005D450D"/>
    <w:rsid w:val="005D5390"/>
    <w:rsid w:val="005E05D3"/>
    <w:rsid w:val="005E406D"/>
    <w:rsid w:val="005F097C"/>
    <w:rsid w:val="006107F3"/>
    <w:rsid w:val="006162BB"/>
    <w:rsid w:val="00636B6B"/>
    <w:rsid w:val="006427A8"/>
    <w:rsid w:val="0064288A"/>
    <w:rsid w:val="0065013E"/>
    <w:rsid w:val="00667113"/>
    <w:rsid w:val="00680203"/>
    <w:rsid w:val="00681DF5"/>
    <w:rsid w:val="00684592"/>
    <w:rsid w:val="00684EB5"/>
    <w:rsid w:val="00690131"/>
    <w:rsid w:val="00690A48"/>
    <w:rsid w:val="00697281"/>
    <w:rsid w:val="006A3CA3"/>
    <w:rsid w:val="006A3D30"/>
    <w:rsid w:val="006A52A9"/>
    <w:rsid w:val="006A7C5B"/>
    <w:rsid w:val="006C0B7D"/>
    <w:rsid w:val="006C0CE2"/>
    <w:rsid w:val="006C758E"/>
    <w:rsid w:val="006C7B84"/>
    <w:rsid w:val="006E26C9"/>
    <w:rsid w:val="006F2B20"/>
    <w:rsid w:val="00702881"/>
    <w:rsid w:val="007159CC"/>
    <w:rsid w:val="00722745"/>
    <w:rsid w:val="00726A2E"/>
    <w:rsid w:val="00735C5C"/>
    <w:rsid w:val="00747FBA"/>
    <w:rsid w:val="0075090C"/>
    <w:rsid w:val="00750F16"/>
    <w:rsid w:val="00760F2D"/>
    <w:rsid w:val="007665F0"/>
    <w:rsid w:val="00775D04"/>
    <w:rsid w:val="0078577B"/>
    <w:rsid w:val="00790485"/>
    <w:rsid w:val="0079143D"/>
    <w:rsid w:val="007A2B6F"/>
    <w:rsid w:val="007A5C5A"/>
    <w:rsid w:val="007B1649"/>
    <w:rsid w:val="007B2FDC"/>
    <w:rsid w:val="007B7C39"/>
    <w:rsid w:val="007B7E0B"/>
    <w:rsid w:val="007C1E7F"/>
    <w:rsid w:val="007C6B90"/>
    <w:rsid w:val="007C7785"/>
    <w:rsid w:val="007D5422"/>
    <w:rsid w:val="007E1857"/>
    <w:rsid w:val="007F4D32"/>
    <w:rsid w:val="0080598C"/>
    <w:rsid w:val="00806F37"/>
    <w:rsid w:val="008111F1"/>
    <w:rsid w:val="008203B4"/>
    <w:rsid w:val="0082265F"/>
    <w:rsid w:val="008252AA"/>
    <w:rsid w:val="008272EC"/>
    <w:rsid w:val="00832922"/>
    <w:rsid w:val="00833EB9"/>
    <w:rsid w:val="00834C16"/>
    <w:rsid w:val="00844680"/>
    <w:rsid w:val="00844B04"/>
    <w:rsid w:val="00845DE8"/>
    <w:rsid w:val="008470B9"/>
    <w:rsid w:val="0085117F"/>
    <w:rsid w:val="0085166A"/>
    <w:rsid w:val="00853722"/>
    <w:rsid w:val="008553A6"/>
    <w:rsid w:val="008554A0"/>
    <w:rsid w:val="0086239F"/>
    <w:rsid w:val="00876332"/>
    <w:rsid w:val="00876C2D"/>
    <w:rsid w:val="00881055"/>
    <w:rsid w:val="008827F5"/>
    <w:rsid w:val="00884293"/>
    <w:rsid w:val="00884A3E"/>
    <w:rsid w:val="00890EF0"/>
    <w:rsid w:val="008A3478"/>
    <w:rsid w:val="008B5A0B"/>
    <w:rsid w:val="008C2EA8"/>
    <w:rsid w:val="008C6300"/>
    <w:rsid w:val="008D2B9B"/>
    <w:rsid w:val="008D335A"/>
    <w:rsid w:val="008D75B5"/>
    <w:rsid w:val="008E4CBA"/>
    <w:rsid w:val="008E5574"/>
    <w:rsid w:val="008F7CA8"/>
    <w:rsid w:val="00906FB8"/>
    <w:rsid w:val="00912DF9"/>
    <w:rsid w:val="00920829"/>
    <w:rsid w:val="009215E3"/>
    <w:rsid w:val="00924468"/>
    <w:rsid w:val="00937D08"/>
    <w:rsid w:val="009427CA"/>
    <w:rsid w:val="0094632C"/>
    <w:rsid w:val="00946A8B"/>
    <w:rsid w:val="009474C3"/>
    <w:rsid w:val="00954241"/>
    <w:rsid w:val="00956A34"/>
    <w:rsid w:val="0096002C"/>
    <w:rsid w:val="00965E79"/>
    <w:rsid w:val="00975452"/>
    <w:rsid w:val="00976B0E"/>
    <w:rsid w:val="009A12DE"/>
    <w:rsid w:val="009A4B78"/>
    <w:rsid w:val="009A4C2B"/>
    <w:rsid w:val="009A65EA"/>
    <w:rsid w:val="009A6E73"/>
    <w:rsid w:val="009A7449"/>
    <w:rsid w:val="009B5B98"/>
    <w:rsid w:val="009C033D"/>
    <w:rsid w:val="009C1FA5"/>
    <w:rsid w:val="009C26BE"/>
    <w:rsid w:val="009C47B9"/>
    <w:rsid w:val="009C590F"/>
    <w:rsid w:val="009C6DF8"/>
    <w:rsid w:val="009D32A3"/>
    <w:rsid w:val="009D40B5"/>
    <w:rsid w:val="009D6B03"/>
    <w:rsid w:val="009E2247"/>
    <w:rsid w:val="009F1E85"/>
    <w:rsid w:val="009F42AC"/>
    <w:rsid w:val="009F62DD"/>
    <w:rsid w:val="00A01219"/>
    <w:rsid w:val="00A06838"/>
    <w:rsid w:val="00A0759D"/>
    <w:rsid w:val="00A079A4"/>
    <w:rsid w:val="00A1063D"/>
    <w:rsid w:val="00A1108A"/>
    <w:rsid w:val="00A13B02"/>
    <w:rsid w:val="00A14B1E"/>
    <w:rsid w:val="00A170DE"/>
    <w:rsid w:val="00A17A66"/>
    <w:rsid w:val="00A2609B"/>
    <w:rsid w:val="00A32288"/>
    <w:rsid w:val="00A32B59"/>
    <w:rsid w:val="00A347C1"/>
    <w:rsid w:val="00A35CC4"/>
    <w:rsid w:val="00A40300"/>
    <w:rsid w:val="00A444DC"/>
    <w:rsid w:val="00A46F66"/>
    <w:rsid w:val="00A542B8"/>
    <w:rsid w:val="00A712B0"/>
    <w:rsid w:val="00A72BB7"/>
    <w:rsid w:val="00A743A7"/>
    <w:rsid w:val="00A749A7"/>
    <w:rsid w:val="00A855C8"/>
    <w:rsid w:val="00A87F4D"/>
    <w:rsid w:val="00A92FDC"/>
    <w:rsid w:val="00A95E0E"/>
    <w:rsid w:val="00AA2C5B"/>
    <w:rsid w:val="00AA7919"/>
    <w:rsid w:val="00AB02D7"/>
    <w:rsid w:val="00AC50E7"/>
    <w:rsid w:val="00AD0412"/>
    <w:rsid w:val="00AD4C44"/>
    <w:rsid w:val="00AD5A07"/>
    <w:rsid w:val="00AF55CD"/>
    <w:rsid w:val="00B1036B"/>
    <w:rsid w:val="00B46457"/>
    <w:rsid w:val="00B51DB7"/>
    <w:rsid w:val="00B66EA3"/>
    <w:rsid w:val="00B67B9A"/>
    <w:rsid w:val="00B86EDA"/>
    <w:rsid w:val="00B9107F"/>
    <w:rsid w:val="00BA4DD6"/>
    <w:rsid w:val="00BA750A"/>
    <w:rsid w:val="00BA791E"/>
    <w:rsid w:val="00BB35A7"/>
    <w:rsid w:val="00BB5D02"/>
    <w:rsid w:val="00BB6C7C"/>
    <w:rsid w:val="00BD2A49"/>
    <w:rsid w:val="00BD45C7"/>
    <w:rsid w:val="00BE2D67"/>
    <w:rsid w:val="00BE3043"/>
    <w:rsid w:val="00BE4D1D"/>
    <w:rsid w:val="00BF405C"/>
    <w:rsid w:val="00C008ED"/>
    <w:rsid w:val="00C00BBF"/>
    <w:rsid w:val="00C17F88"/>
    <w:rsid w:val="00C26FCD"/>
    <w:rsid w:val="00C305C0"/>
    <w:rsid w:val="00C333F9"/>
    <w:rsid w:val="00C34D82"/>
    <w:rsid w:val="00C45865"/>
    <w:rsid w:val="00C51346"/>
    <w:rsid w:val="00C626C0"/>
    <w:rsid w:val="00C6436B"/>
    <w:rsid w:val="00C72F8A"/>
    <w:rsid w:val="00C761BD"/>
    <w:rsid w:val="00C76BAB"/>
    <w:rsid w:val="00C81237"/>
    <w:rsid w:val="00C87497"/>
    <w:rsid w:val="00C87C85"/>
    <w:rsid w:val="00C9076E"/>
    <w:rsid w:val="00C93B2E"/>
    <w:rsid w:val="00C93C3A"/>
    <w:rsid w:val="00CA0A02"/>
    <w:rsid w:val="00CA233F"/>
    <w:rsid w:val="00CA5807"/>
    <w:rsid w:val="00CB1EAB"/>
    <w:rsid w:val="00CB70A3"/>
    <w:rsid w:val="00CC1B6F"/>
    <w:rsid w:val="00CC5801"/>
    <w:rsid w:val="00CC6416"/>
    <w:rsid w:val="00CC7292"/>
    <w:rsid w:val="00CD1BF7"/>
    <w:rsid w:val="00CD4764"/>
    <w:rsid w:val="00CE1026"/>
    <w:rsid w:val="00CF63F2"/>
    <w:rsid w:val="00D042CC"/>
    <w:rsid w:val="00D06795"/>
    <w:rsid w:val="00D07099"/>
    <w:rsid w:val="00D1200E"/>
    <w:rsid w:val="00D157AA"/>
    <w:rsid w:val="00D245EE"/>
    <w:rsid w:val="00D30CC6"/>
    <w:rsid w:val="00D3232D"/>
    <w:rsid w:val="00D40566"/>
    <w:rsid w:val="00D43103"/>
    <w:rsid w:val="00D44B6B"/>
    <w:rsid w:val="00D73E0A"/>
    <w:rsid w:val="00D74F8E"/>
    <w:rsid w:val="00D80B86"/>
    <w:rsid w:val="00DA067A"/>
    <w:rsid w:val="00DA2A11"/>
    <w:rsid w:val="00DA4C64"/>
    <w:rsid w:val="00DA6401"/>
    <w:rsid w:val="00DA76C5"/>
    <w:rsid w:val="00DB21EB"/>
    <w:rsid w:val="00DB3CE9"/>
    <w:rsid w:val="00DB411C"/>
    <w:rsid w:val="00DC32C0"/>
    <w:rsid w:val="00DC5E18"/>
    <w:rsid w:val="00DD472B"/>
    <w:rsid w:val="00DD6B1E"/>
    <w:rsid w:val="00DE05F4"/>
    <w:rsid w:val="00DE1951"/>
    <w:rsid w:val="00DE3299"/>
    <w:rsid w:val="00DF383C"/>
    <w:rsid w:val="00DF7AAC"/>
    <w:rsid w:val="00E00E5E"/>
    <w:rsid w:val="00E025C4"/>
    <w:rsid w:val="00E03EDC"/>
    <w:rsid w:val="00E04445"/>
    <w:rsid w:val="00E101EB"/>
    <w:rsid w:val="00E1142B"/>
    <w:rsid w:val="00E120FB"/>
    <w:rsid w:val="00E131F9"/>
    <w:rsid w:val="00E14026"/>
    <w:rsid w:val="00E16815"/>
    <w:rsid w:val="00E17A78"/>
    <w:rsid w:val="00E3378D"/>
    <w:rsid w:val="00E359E6"/>
    <w:rsid w:val="00E454FF"/>
    <w:rsid w:val="00E506E5"/>
    <w:rsid w:val="00E50E2F"/>
    <w:rsid w:val="00E56522"/>
    <w:rsid w:val="00E57313"/>
    <w:rsid w:val="00E625F7"/>
    <w:rsid w:val="00E67F1E"/>
    <w:rsid w:val="00E7177A"/>
    <w:rsid w:val="00E77B2D"/>
    <w:rsid w:val="00E90CC3"/>
    <w:rsid w:val="00E9465C"/>
    <w:rsid w:val="00EA2691"/>
    <w:rsid w:val="00EA2FA9"/>
    <w:rsid w:val="00EA3A21"/>
    <w:rsid w:val="00EA4C49"/>
    <w:rsid w:val="00EA617D"/>
    <w:rsid w:val="00EB46BC"/>
    <w:rsid w:val="00EC4671"/>
    <w:rsid w:val="00EC69A4"/>
    <w:rsid w:val="00ED1396"/>
    <w:rsid w:val="00ED247C"/>
    <w:rsid w:val="00ED33D9"/>
    <w:rsid w:val="00EE5742"/>
    <w:rsid w:val="00EF2439"/>
    <w:rsid w:val="00EF317B"/>
    <w:rsid w:val="00F06D17"/>
    <w:rsid w:val="00F11B4D"/>
    <w:rsid w:val="00F25EB9"/>
    <w:rsid w:val="00F34D9B"/>
    <w:rsid w:val="00F3741D"/>
    <w:rsid w:val="00F4316F"/>
    <w:rsid w:val="00F437C2"/>
    <w:rsid w:val="00F46E99"/>
    <w:rsid w:val="00F51D9A"/>
    <w:rsid w:val="00F737A9"/>
    <w:rsid w:val="00F823EA"/>
    <w:rsid w:val="00F85BFE"/>
    <w:rsid w:val="00F9228E"/>
    <w:rsid w:val="00F96D62"/>
    <w:rsid w:val="00FB22C4"/>
    <w:rsid w:val="00FB2E1B"/>
    <w:rsid w:val="00FB6437"/>
    <w:rsid w:val="00FB72D2"/>
    <w:rsid w:val="00FB77B2"/>
    <w:rsid w:val="00FC497F"/>
    <w:rsid w:val="00FC5995"/>
    <w:rsid w:val="00FD696D"/>
    <w:rsid w:val="00FE186E"/>
    <w:rsid w:val="00FE60F2"/>
    <w:rsid w:val="00FE71FE"/>
    <w:rsid w:val="00FF00D3"/>
    <w:rsid w:val="00FF4798"/>
    <w:rsid w:val="1FC79383"/>
    <w:rsid w:val="2252D141"/>
    <w:rsid w:val="2657433A"/>
    <w:rsid w:val="277ED3B6"/>
    <w:rsid w:val="27FF2786"/>
    <w:rsid w:val="2D60DB42"/>
    <w:rsid w:val="363FB55F"/>
    <w:rsid w:val="37C7A638"/>
    <w:rsid w:val="3D5BCF4C"/>
    <w:rsid w:val="3EE57A7F"/>
    <w:rsid w:val="3FB7AE80"/>
    <w:rsid w:val="3FBCE3EF"/>
    <w:rsid w:val="45BF3A25"/>
    <w:rsid w:val="4DF6E7D7"/>
    <w:rsid w:val="4E7FE293"/>
    <w:rsid w:val="4FAF0469"/>
    <w:rsid w:val="4FFB95D2"/>
    <w:rsid w:val="557FDDF1"/>
    <w:rsid w:val="57794A9D"/>
    <w:rsid w:val="577CE2C4"/>
    <w:rsid w:val="577EF5BD"/>
    <w:rsid w:val="577F2570"/>
    <w:rsid w:val="5AF32F34"/>
    <w:rsid w:val="5B3EBB21"/>
    <w:rsid w:val="5BDB1320"/>
    <w:rsid w:val="5CBD4E1F"/>
    <w:rsid w:val="5CFD9187"/>
    <w:rsid w:val="5DBFB913"/>
    <w:rsid w:val="5E7E7E54"/>
    <w:rsid w:val="5F7F27AD"/>
    <w:rsid w:val="66EBE5D4"/>
    <w:rsid w:val="6BADAF4A"/>
    <w:rsid w:val="6C7FFD3B"/>
    <w:rsid w:val="6D5C3FDE"/>
    <w:rsid w:val="6DEFD753"/>
    <w:rsid w:val="6DFFC8E9"/>
    <w:rsid w:val="6F370940"/>
    <w:rsid w:val="72F6EB71"/>
    <w:rsid w:val="777D9B99"/>
    <w:rsid w:val="77E7F791"/>
    <w:rsid w:val="77ED9514"/>
    <w:rsid w:val="77FDDF2A"/>
    <w:rsid w:val="77FF77CE"/>
    <w:rsid w:val="795BC0E3"/>
    <w:rsid w:val="79DF6136"/>
    <w:rsid w:val="7B7FC821"/>
    <w:rsid w:val="7BAB9983"/>
    <w:rsid w:val="7BBBD797"/>
    <w:rsid w:val="7BF65F9F"/>
    <w:rsid w:val="7CF7E7B2"/>
    <w:rsid w:val="7DDF4DBF"/>
    <w:rsid w:val="7DFB9A18"/>
    <w:rsid w:val="7DFFB583"/>
    <w:rsid w:val="7E7D7712"/>
    <w:rsid w:val="7E7E9572"/>
    <w:rsid w:val="7EDE6330"/>
    <w:rsid w:val="7EFB4904"/>
    <w:rsid w:val="7EFDA0BA"/>
    <w:rsid w:val="7EFF89A5"/>
    <w:rsid w:val="7EFF9118"/>
    <w:rsid w:val="7FD78CA2"/>
    <w:rsid w:val="7FF6BCA7"/>
    <w:rsid w:val="8FA97248"/>
    <w:rsid w:val="94FDFF18"/>
    <w:rsid w:val="974EC4EF"/>
    <w:rsid w:val="AB7F0502"/>
    <w:rsid w:val="AD4F74C3"/>
    <w:rsid w:val="AFFB4FF1"/>
    <w:rsid w:val="BB5E7EDE"/>
    <w:rsid w:val="BCEDAA9E"/>
    <w:rsid w:val="BEA39752"/>
    <w:rsid w:val="BF4A82E3"/>
    <w:rsid w:val="BFFF5305"/>
    <w:rsid w:val="C7DEAA06"/>
    <w:rsid w:val="CD1EAFF2"/>
    <w:rsid w:val="CD7EEC0E"/>
    <w:rsid w:val="CEFD69EC"/>
    <w:rsid w:val="CF9EDAB2"/>
    <w:rsid w:val="D5F7D839"/>
    <w:rsid w:val="D73D3711"/>
    <w:rsid w:val="D76FE9C3"/>
    <w:rsid w:val="DE6BED53"/>
    <w:rsid w:val="DF17D1B6"/>
    <w:rsid w:val="DF5FF3FF"/>
    <w:rsid w:val="DF6FEFB2"/>
    <w:rsid w:val="DFD301DA"/>
    <w:rsid w:val="DFDABA62"/>
    <w:rsid w:val="E63796B2"/>
    <w:rsid w:val="E7FF1DC8"/>
    <w:rsid w:val="EBFFCBA1"/>
    <w:rsid w:val="EF627455"/>
    <w:rsid w:val="EFE7D346"/>
    <w:rsid w:val="EFFE2B59"/>
    <w:rsid w:val="F2FFCE73"/>
    <w:rsid w:val="F3E4AFA4"/>
    <w:rsid w:val="F5BF8846"/>
    <w:rsid w:val="F7CFF4C3"/>
    <w:rsid w:val="F7DED8A8"/>
    <w:rsid w:val="F7FB09FC"/>
    <w:rsid w:val="F7FF40AD"/>
    <w:rsid w:val="F7FF7732"/>
    <w:rsid w:val="F7FF9E4B"/>
    <w:rsid w:val="F9E34761"/>
    <w:rsid w:val="F9FEDD8B"/>
    <w:rsid w:val="FA7FAFFE"/>
    <w:rsid w:val="FADB37CF"/>
    <w:rsid w:val="FAE3A483"/>
    <w:rsid w:val="FBAD4FEE"/>
    <w:rsid w:val="FBBF3437"/>
    <w:rsid w:val="FBEFB9C8"/>
    <w:rsid w:val="FCB7994E"/>
    <w:rsid w:val="FCE87C01"/>
    <w:rsid w:val="FCFF3FC7"/>
    <w:rsid w:val="FD7C58BE"/>
    <w:rsid w:val="FD7F3B63"/>
    <w:rsid w:val="FDB79C42"/>
    <w:rsid w:val="FDBF239A"/>
    <w:rsid w:val="FDCD46BB"/>
    <w:rsid w:val="FDDF208A"/>
    <w:rsid w:val="FDEB6A95"/>
    <w:rsid w:val="FEE81DEE"/>
    <w:rsid w:val="FEF218D5"/>
    <w:rsid w:val="FEF7257B"/>
    <w:rsid w:val="FF3E2CA5"/>
    <w:rsid w:val="FF654D12"/>
    <w:rsid w:val="FF71FDA6"/>
    <w:rsid w:val="FFBE27CA"/>
    <w:rsid w:val="FFEB8505"/>
    <w:rsid w:val="FFEF42BD"/>
    <w:rsid w:val="FFF26714"/>
    <w:rsid w:val="FFF60CF7"/>
    <w:rsid w:val="FFF7845A"/>
    <w:rsid w:val="FFF96D34"/>
    <w:rsid w:val="FFFC6CE7"/>
    <w:rsid w:val="FFFF1D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5"/>
    <w:qFormat/>
    <w:uiPriority w:val="9"/>
    <w:pPr>
      <w:keepNext/>
      <w:keepLines/>
      <w:spacing w:before="340" w:after="330"/>
      <w:jc w:val="center"/>
      <w:outlineLvl w:val="0"/>
    </w:pPr>
    <w:rPr>
      <w:rFonts w:eastAsia="黑体"/>
      <w:bCs/>
      <w:kern w:val="44"/>
      <w:sz w:val="32"/>
      <w:szCs w:val="44"/>
    </w:rPr>
  </w:style>
  <w:style w:type="paragraph" w:styleId="3">
    <w:name w:val="heading 2"/>
    <w:basedOn w:val="1"/>
    <w:next w:val="1"/>
    <w:link w:val="2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8"/>
    <w:semiHidden/>
    <w:unhideWhenUsed/>
    <w:qFormat/>
    <w:uiPriority w:val="99"/>
    <w:pPr>
      <w:jc w:val="left"/>
    </w:pPr>
  </w:style>
  <w:style w:type="paragraph" w:styleId="5">
    <w:name w:val="Balloon Text"/>
    <w:basedOn w:val="1"/>
    <w:link w:val="20"/>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17"/>
    <w:semiHidden/>
    <w:unhideWhenUsed/>
    <w:qFormat/>
    <w:uiPriority w:val="99"/>
    <w:pPr>
      <w:snapToGrid w:val="0"/>
      <w:jc w:val="left"/>
    </w:pPr>
    <w:rPr>
      <w:sz w:val="18"/>
      <w:szCs w:val="18"/>
    </w:rPr>
  </w:style>
  <w:style w:type="paragraph" w:styleId="9">
    <w:name w:val="Normal (Web)"/>
    <w:basedOn w:val="1"/>
    <w:link w:val="16"/>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annotation subject"/>
    <w:basedOn w:val="4"/>
    <w:next w:val="4"/>
    <w:link w:val="19"/>
    <w:semiHidden/>
    <w:unhideWhenUsed/>
    <w:qFormat/>
    <w:uiPriority w:val="99"/>
    <w:rPr>
      <w:b/>
      <w:bCs/>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styleId="15">
    <w:name w:val="footnote reference"/>
    <w:basedOn w:val="13"/>
    <w:semiHidden/>
    <w:unhideWhenUsed/>
    <w:qFormat/>
    <w:uiPriority w:val="99"/>
    <w:rPr>
      <w:vertAlign w:val="superscript"/>
    </w:rPr>
  </w:style>
  <w:style w:type="character" w:customStyle="1" w:styleId="16">
    <w:name w:val="普通(网站) Char"/>
    <w:link w:val="9"/>
    <w:qFormat/>
    <w:uiPriority w:val="99"/>
    <w:rPr>
      <w:rFonts w:ascii="宋体" w:hAnsi="宋体" w:eastAsia="宋体" w:cs="宋体"/>
      <w:kern w:val="0"/>
      <w:sz w:val="24"/>
      <w:szCs w:val="24"/>
    </w:rPr>
  </w:style>
  <w:style w:type="character" w:customStyle="1" w:styleId="17">
    <w:name w:val="脚注文本 Char"/>
    <w:basedOn w:val="13"/>
    <w:link w:val="8"/>
    <w:semiHidden/>
    <w:qFormat/>
    <w:uiPriority w:val="99"/>
    <w:rPr>
      <w:sz w:val="18"/>
      <w:szCs w:val="18"/>
    </w:rPr>
  </w:style>
  <w:style w:type="character" w:customStyle="1" w:styleId="18">
    <w:name w:val="批注文字 Char"/>
    <w:basedOn w:val="13"/>
    <w:link w:val="4"/>
    <w:semiHidden/>
    <w:qFormat/>
    <w:uiPriority w:val="99"/>
  </w:style>
  <w:style w:type="character" w:customStyle="1" w:styleId="19">
    <w:name w:val="批注主题 Char"/>
    <w:basedOn w:val="18"/>
    <w:link w:val="10"/>
    <w:semiHidden/>
    <w:qFormat/>
    <w:uiPriority w:val="99"/>
    <w:rPr>
      <w:b/>
      <w:bCs/>
    </w:rPr>
  </w:style>
  <w:style w:type="character" w:customStyle="1" w:styleId="20">
    <w:name w:val="批注框文本 Char"/>
    <w:basedOn w:val="13"/>
    <w:link w:val="5"/>
    <w:semiHidden/>
    <w:qFormat/>
    <w:uiPriority w:val="99"/>
    <w:rPr>
      <w:sz w:val="18"/>
      <w:szCs w:val="18"/>
    </w:rPr>
  </w:style>
  <w:style w:type="character" w:customStyle="1" w:styleId="21">
    <w:name w:val="页眉 Char"/>
    <w:basedOn w:val="13"/>
    <w:link w:val="7"/>
    <w:qFormat/>
    <w:uiPriority w:val="99"/>
    <w:rPr>
      <w:sz w:val="18"/>
      <w:szCs w:val="18"/>
    </w:rPr>
  </w:style>
  <w:style w:type="character" w:customStyle="1" w:styleId="22">
    <w:name w:val="页脚 Char"/>
    <w:basedOn w:val="13"/>
    <w:link w:val="6"/>
    <w:qFormat/>
    <w:uiPriority w:val="99"/>
    <w:rPr>
      <w:sz w:val="18"/>
      <w:szCs w:val="18"/>
    </w:rPr>
  </w:style>
  <w:style w:type="paragraph" w:styleId="23">
    <w:name w:val="List Paragraph"/>
    <w:basedOn w:val="1"/>
    <w:qFormat/>
    <w:uiPriority w:val="34"/>
    <w:pPr>
      <w:ind w:firstLine="420" w:firstLineChars="200"/>
    </w:p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5">
    <w:name w:val="标题 1 Char"/>
    <w:basedOn w:val="13"/>
    <w:link w:val="2"/>
    <w:qFormat/>
    <w:uiPriority w:val="9"/>
    <w:rPr>
      <w:rFonts w:eastAsia="黑体"/>
      <w:bCs/>
      <w:kern w:val="44"/>
      <w:sz w:val="32"/>
      <w:szCs w:val="44"/>
    </w:rPr>
  </w:style>
  <w:style w:type="paragraph" w:customStyle="1" w:styleId="26">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27">
    <w:name w:val="标题 2 Char"/>
    <w:basedOn w:val="13"/>
    <w:link w:val="3"/>
    <w:semiHidden/>
    <w:qFormat/>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3090</Words>
  <Characters>3153</Characters>
  <Lines>23</Lines>
  <Paragraphs>6</Paragraphs>
  <TotalTime>0</TotalTime>
  <ScaleCrop>false</ScaleCrop>
  <LinksUpToDate>false</LinksUpToDate>
  <CharactersWithSpaces>3205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2023-01-31T09:59:00Z</dcterms:created>
  <dc:creator>hangy</dc:creator>
  <cp:lastModifiedBy>hangy</cp:lastModifiedBy>
  <cp:lastPrinted>2022-11-30T09:18:00Z</cp:lastPrinted>
  <dcterms:modified xsi:type="dcterms:W3CDTF">2023-01-30T18:31:03Z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