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E0" w:rsidRDefault="006476E0">
      <w:pPr>
        <w:tabs>
          <w:tab w:val="left" w:pos="900"/>
        </w:tabs>
        <w:snapToGrid w:val="0"/>
        <w:spacing w:line="560" w:lineRule="exact"/>
        <w:jc w:val="center"/>
        <w:outlineLvl w:val="0"/>
        <w:rPr>
          <w:rFonts w:ascii="Times New Roman" w:eastAsia="方正大标宋简体" w:hAnsi="Times New Roman"/>
          <w:color w:val="000000"/>
          <w:kern w:val="0"/>
          <w:sz w:val="36"/>
          <w:szCs w:val="36"/>
        </w:rPr>
      </w:pPr>
    </w:p>
    <w:p w:rsidR="006476E0" w:rsidRPr="00821E98" w:rsidRDefault="00B130D7">
      <w:pPr>
        <w:tabs>
          <w:tab w:val="left" w:pos="900"/>
        </w:tabs>
        <w:snapToGrid w:val="0"/>
        <w:spacing w:line="560" w:lineRule="exact"/>
        <w:jc w:val="center"/>
        <w:outlineLvl w:val="0"/>
        <w:rPr>
          <w:rFonts w:ascii="Times New Roman" w:eastAsia="方正大标宋简体" w:hAnsi="Times New Roman"/>
          <w:color w:val="000000"/>
          <w:kern w:val="0"/>
          <w:sz w:val="44"/>
          <w:szCs w:val="44"/>
        </w:rPr>
      </w:pPr>
      <w:r w:rsidRPr="00821E98">
        <w:rPr>
          <w:rFonts w:ascii="Times New Roman" w:eastAsia="方正大标宋简体" w:hAnsi="Times New Roman" w:hint="eastAsia"/>
          <w:color w:val="000000"/>
          <w:kern w:val="0"/>
          <w:sz w:val="44"/>
          <w:szCs w:val="44"/>
        </w:rPr>
        <w:t>保荐机构</w:t>
      </w:r>
      <w:r w:rsidRPr="00821E98">
        <w:rPr>
          <w:rFonts w:ascii="Times New Roman" w:eastAsia="方正大标宋简体" w:hAnsi="Times New Roman"/>
          <w:color w:val="000000"/>
          <w:kern w:val="0"/>
          <w:sz w:val="44"/>
          <w:szCs w:val="44"/>
        </w:rPr>
        <w:t>关于</w:t>
      </w:r>
      <w:r w:rsidRPr="00821E98">
        <w:rPr>
          <w:rFonts w:ascii="Times New Roman" w:eastAsia="方正大标宋简体" w:hAnsi="Times New Roman" w:hint="eastAsia"/>
          <w:color w:val="000000"/>
          <w:kern w:val="0"/>
          <w:sz w:val="44"/>
          <w:szCs w:val="44"/>
        </w:rPr>
        <w:t>上市</w:t>
      </w:r>
      <w:r w:rsidRPr="00821E98">
        <w:rPr>
          <w:rFonts w:ascii="Times New Roman" w:eastAsia="方正大标宋简体" w:hAnsi="Times New Roman"/>
          <w:color w:val="000000"/>
          <w:kern w:val="0"/>
          <w:sz w:val="44"/>
          <w:szCs w:val="44"/>
        </w:rPr>
        <w:t>公司治理专项自查及规范</w:t>
      </w:r>
    </w:p>
    <w:p w:rsidR="006476E0" w:rsidRPr="00821E98" w:rsidRDefault="00B130D7">
      <w:pPr>
        <w:tabs>
          <w:tab w:val="left" w:pos="900"/>
        </w:tabs>
        <w:snapToGrid w:val="0"/>
        <w:spacing w:line="560" w:lineRule="exact"/>
        <w:jc w:val="center"/>
        <w:outlineLvl w:val="0"/>
        <w:rPr>
          <w:rFonts w:ascii="Times New Roman" w:eastAsia="方正大标宋简体" w:hAnsi="Times New Roman"/>
          <w:color w:val="000000"/>
          <w:kern w:val="0"/>
          <w:sz w:val="44"/>
          <w:szCs w:val="44"/>
        </w:rPr>
      </w:pPr>
      <w:r w:rsidRPr="00821E98">
        <w:rPr>
          <w:rFonts w:ascii="Times New Roman" w:eastAsia="方正大标宋简体" w:hAnsi="Times New Roman"/>
          <w:color w:val="000000"/>
          <w:kern w:val="0"/>
          <w:sz w:val="44"/>
          <w:szCs w:val="44"/>
        </w:rPr>
        <w:t>活动出具专项核查报告的必备内容</w:t>
      </w:r>
    </w:p>
    <w:p w:rsidR="006476E0" w:rsidRDefault="006476E0">
      <w:pPr>
        <w:spacing w:line="600" w:lineRule="exact"/>
        <w:ind w:firstLineChars="600" w:firstLine="1920"/>
        <w:rPr>
          <w:rFonts w:ascii="Times New Roman" w:eastAsia="仿宋" w:hAnsi="Times New Roman"/>
          <w:sz w:val="32"/>
          <w:szCs w:val="32"/>
        </w:rPr>
      </w:pPr>
    </w:p>
    <w:p w:rsidR="006476E0" w:rsidRDefault="00B130D7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根据公司治理专项自查及规范活动的要求，保荐机构应当</w:t>
      </w:r>
      <w:r>
        <w:rPr>
          <w:rFonts w:ascii="Times New Roman" w:eastAsia="仿宋" w:hAnsi="Times New Roman" w:hint="eastAsia"/>
          <w:sz w:val="32"/>
          <w:szCs w:val="32"/>
        </w:rPr>
        <w:t>对</w:t>
      </w:r>
      <w:r>
        <w:rPr>
          <w:rFonts w:ascii="Times New Roman" w:eastAsia="仿宋" w:hAnsi="Times New Roman" w:hint="eastAsia"/>
          <w:sz w:val="32"/>
          <w:szCs w:val="32"/>
        </w:rPr>
        <w:t>所督导</w:t>
      </w:r>
      <w:r>
        <w:rPr>
          <w:rFonts w:ascii="Times New Roman" w:eastAsia="仿宋" w:hAnsi="Times New Roman" w:hint="eastAsia"/>
          <w:sz w:val="32"/>
          <w:szCs w:val="32"/>
        </w:rPr>
        <w:t>上市公司的</w:t>
      </w:r>
      <w:r>
        <w:rPr>
          <w:rFonts w:ascii="Times New Roman" w:eastAsia="仿宋" w:hAnsi="Times New Roman" w:hint="eastAsia"/>
          <w:sz w:val="32"/>
          <w:szCs w:val="32"/>
        </w:rPr>
        <w:t>2022</w:t>
      </w:r>
      <w:r>
        <w:rPr>
          <w:rFonts w:ascii="Times New Roman" w:eastAsia="仿宋" w:hAnsi="Times New Roman" w:hint="eastAsia"/>
          <w:sz w:val="32"/>
          <w:szCs w:val="32"/>
        </w:rPr>
        <w:t>年度公司治理专项自查和规范情况出具核查报告，并与公司年报同步披露。</w:t>
      </w:r>
      <w:r>
        <w:rPr>
          <w:rFonts w:ascii="Times New Roman" w:eastAsia="仿宋" w:hAnsi="Times New Roman" w:hint="eastAsia"/>
          <w:sz w:val="32"/>
          <w:szCs w:val="32"/>
        </w:rPr>
        <w:t>现就核查报告必备内容说明如下：</w:t>
      </w:r>
    </w:p>
    <w:p w:rsidR="006476E0" w:rsidRDefault="00B130D7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一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 w:hint="eastAsia"/>
          <w:sz w:val="32"/>
          <w:szCs w:val="32"/>
        </w:rPr>
        <w:t>结合活动要求和上市公司</w:t>
      </w:r>
      <w:r>
        <w:rPr>
          <w:rFonts w:ascii="Times New Roman" w:eastAsia="仿宋" w:hAnsi="Times New Roman" w:hint="eastAsia"/>
          <w:sz w:val="32"/>
          <w:szCs w:val="32"/>
        </w:rPr>
        <w:t>自查</w:t>
      </w:r>
      <w:r>
        <w:rPr>
          <w:rFonts w:ascii="Times New Roman" w:eastAsia="仿宋" w:hAnsi="Times New Roman" w:hint="eastAsia"/>
          <w:sz w:val="32"/>
          <w:szCs w:val="32"/>
        </w:rPr>
        <w:t>情况</w:t>
      </w:r>
      <w:r>
        <w:rPr>
          <w:rFonts w:ascii="Times New Roman" w:eastAsia="仿宋" w:hAnsi="Times New Roman" w:hint="eastAsia"/>
          <w:sz w:val="32"/>
          <w:szCs w:val="32"/>
        </w:rPr>
        <w:t>，说</w:t>
      </w:r>
      <w:r>
        <w:rPr>
          <w:rFonts w:ascii="Times New Roman" w:eastAsia="仿宋" w:hAnsi="Times New Roman" w:hint="eastAsia"/>
          <w:sz w:val="32"/>
          <w:szCs w:val="32"/>
        </w:rPr>
        <w:t>明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>
        <w:rPr>
          <w:rFonts w:ascii="Times New Roman" w:eastAsia="仿宋" w:hAnsi="Times New Roman"/>
          <w:sz w:val="32"/>
          <w:szCs w:val="32"/>
        </w:rPr>
        <w:t>公司在</w:t>
      </w:r>
      <w:r>
        <w:rPr>
          <w:rFonts w:ascii="Times New Roman" w:eastAsia="仿宋" w:hAnsi="Times New Roman" w:hint="eastAsia"/>
          <w:sz w:val="32"/>
          <w:szCs w:val="32"/>
        </w:rPr>
        <w:t>内部制度建设、机构设置、董监高任职履职、决策程序运行、治理约束机制</w:t>
      </w:r>
      <w:r>
        <w:rPr>
          <w:rFonts w:ascii="Times New Roman" w:eastAsia="仿宋" w:hAnsi="Times New Roman" w:hint="eastAsia"/>
          <w:sz w:val="32"/>
          <w:szCs w:val="32"/>
        </w:rPr>
        <w:t>等</w:t>
      </w:r>
      <w:r>
        <w:rPr>
          <w:rFonts w:ascii="Times New Roman" w:eastAsia="仿宋" w:hAnsi="Times New Roman" w:hint="eastAsia"/>
          <w:sz w:val="32"/>
          <w:szCs w:val="32"/>
        </w:rPr>
        <w:t>方面</w:t>
      </w:r>
      <w:r>
        <w:rPr>
          <w:rFonts w:ascii="Times New Roman" w:eastAsia="仿宋" w:hAnsi="Times New Roman"/>
          <w:sz w:val="32"/>
          <w:szCs w:val="32"/>
        </w:rPr>
        <w:t>存在的问题，</w:t>
      </w:r>
      <w:r>
        <w:rPr>
          <w:rFonts w:ascii="Times New Roman" w:eastAsia="仿宋" w:hAnsi="Times New Roman" w:hint="eastAsia"/>
          <w:sz w:val="32"/>
          <w:szCs w:val="32"/>
        </w:rPr>
        <w:t>并</w:t>
      </w:r>
      <w:r>
        <w:rPr>
          <w:rFonts w:ascii="Times New Roman" w:eastAsia="仿宋" w:hAnsi="Times New Roman"/>
          <w:sz w:val="32"/>
          <w:szCs w:val="32"/>
        </w:rPr>
        <w:t>就发现的问题</w:t>
      </w:r>
      <w:r>
        <w:rPr>
          <w:rFonts w:ascii="Times New Roman" w:eastAsia="仿宋" w:hAnsi="Times New Roman" w:hint="eastAsia"/>
          <w:sz w:val="32"/>
          <w:szCs w:val="32"/>
        </w:rPr>
        <w:t>是否违反法律法规、业务规则发表明确意见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6476E0" w:rsidRDefault="00B130D7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二</w:t>
      </w:r>
      <w:r>
        <w:rPr>
          <w:rFonts w:ascii="Times New Roman" w:eastAsia="仿宋" w:hAnsi="Times New Roman" w:hint="eastAsia"/>
          <w:sz w:val="32"/>
          <w:szCs w:val="32"/>
        </w:rPr>
        <w:t>、就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>
        <w:rPr>
          <w:rFonts w:ascii="Times New Roman" w:eastAsia="仿宋" w:hAnsi="Times New Roman" w:hint="eastAsia"/>
          <w:sz w:val="32"/>
          <w:szCs w:val="32"/>
        </w:rPr>
        <w:t>公司是否存在资金占用、违规担保、违规关联交易</w:t>
      </w:r>
      <w:r>
        <w:rPr>
          <w:rFonts w:ascii="Times New Roman" w:eastAsia="仿宋" w:hAnsi="Times New Roman" w:hint="eastAsia"/>
          <w:sz w:val="32"/>
          <w:szCs w:val="32"/>
        </w:rPr>
        <w:t>，上市公司及有关主体是否存在违反公开承诺、</w:t>
      </w:r>
      <w:r>
        <w:rPr>
          <w:rFonts w:ascii="Times New Roman" w:eastAsia="仿宋" w:hAnsi="Times New Roman" w:hint="eastAsia"/>
          <w:sz w:val="32"/>
          <w:szCs w:val="32"/>
        </w:rPr>
        <w:t>虚假披露、内幕交易及操纵市场等问题发表明确意见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6476E0" w:rsidRDefault="00B130D7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三</w:t>
      </w:r>
      <w:r>
        <w:rPr>
          <w:rFonts w:ascii="Times New Roman" w:eastAsia="仿宋" w:hAnsi="Times New Roman" w:hint="eastAsia"/>
          <w:sz w:val="32"/>
          <w:szCs w:val="32"/>
        </w:rPr>
        <w:t>、对于</w:t>
      </w:r>
      <w:r>
        <w:rPr>
          <w:rFonts w:ascii="Times New Roman" w:eastAsia="仿宋" w:hAnsi="Times New Roman"/>
          <w:sz w:val="32"/>
          <w:szCs w:val="32"/>
        </w:rPr>
        <w:t>存在违规情形的公司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保荐机构</w:t>
      </w:r>
      <w:r>
        <w:rPr>
          <w:rFonts w:ascii="Times New Roman" w:eastAsia="仿宋" w:hAnsi="Times New Roman" w:hint="eastAsia"/>
          <w:sz w:val="32"/>
          <w:szCs w:val="32"/>
        </w:rPr>
        <w:t>应详细</w:t>
      </w:r>
      <w:r>
        <w:rPr>
          <w:rFonts w:ascii="Times New Roman" w:eastAsia="仿宋" w:hAnsi="Times New Roman"/>
          <w:sz w:val="32"/>
          <w:szCs w:val="32"/>
        </w:rPr>
        <w:t>说明具体情况</w:t>
      </w:r>
      <w:r>
        <w:rPr>
          <w:rFonts w:ascii="Times New Roman" w:eastAsia="仿宋" w:hAnsi="Times New Roman" w:hint="eastAsia"/>
          <w:sz w:val="32"/>
          <w:szCs w:val="32"/>
        </w:rPr>
        <w:t>，包括但不限于违规情形、违规涉及金额及其占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>
        <w:rPr>
          <w:rFonts w:ascii="Times New Roman" w:eastAsia="仿宋" w:hAnsi="Times New Roman" w:hint="eastAsia"/>
          <w:sz w:val="32"/>
          <w:szCs w:val="32"/>
        </w:rPr>
        <w:t>公司最近一期经审</w:t>
      </w:r>
      <w:r>
        <w:rPr>
          <w:rFonts w:ascii="Times New Roman" w:eastAsia="仿宋" w:hAnsi="Times New Roman"/>
          <w:sz w:val="32"/>
          <w:szCs w:val="32"/>
        </w:rPr>
        <w:t>计</w:t>
      </w:r>
      <w:r>
        <w:rPr>
          <w:rFonts w:ascii="Times New Roman" w:eastAsia="仿宋" w:hAnsi="Times New Roman" w:hint="eastAsia"/>
          <w:sz w:val="32"/>
          <w:szCs w:val="32"/>
        </w:rPr>
        <w:t>净资产的比重（如适用）、补充审议和披露情况、被采取</w:t>
      </w:r>
      <w:r>
        <w:rPr>
          <w:rFonts w:ascii="Times New Roman" w:eastAsia="仿宋" w:hAnsi="Times New Roman" w:hint="eastAsia"/>
          <w:sz w:val="32"/>
          <w:szCs w:val="32"/>
        </w:rPr>
        <w:t>行政处罚、</w:t>
      </w:r>
      <w:r>
        <w:rPr>
          <w:rFonts w:ascii="Times New Roman" w:eastAsia="仿宋" w:hAnsi="Times New Roman" w:hint="eastAsia"/>
          <w:sz w:val="32"/>
          <w:szCs w:val="32"/>
        </w:rPr>
        <w:t>行政监管措施和自律监管措施情况、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>
        <w:rPr>
          <w:rFonts w:ascii="Times New Roman" w:eastAsia="仿宋" w:hAnsi="Times New Roman" w:hint="eastAsia"/>
          <w:sz w:val="32"/>
          <w:szCs w:val="32"/>
        </w:rPr>
        <w:t>公司整改和规范进展、</w:t>
      </w:r>
      <w:r>
        <w:rPr>
          <w:rFonts w:ascii="Times New Roman" w:eastAsia="仿宋" w:hAnsi="Times New Roman" w:hint="eastAsia"/>
          <w:sz w:val="32"/>
          <w:szCs w:val="32"/>
        </w:rPr>
        <w:t>保荐机构</w:t>
      </w:r>
      <w:r>
        <w:rPr>
          <w:rFonts w:ascii="Times New Roman" w:eastAsia="仿宋" w:hAnsi="Times New Roman" w:hint="eastAsia"/>
          <w:sz w:val="32"/>
          <w:szCs w:val="32"/>
        </w:rPr>
        <w:t>督导履职情况等。</w:t>
      </w:r>
    </w:p>
    <w:p w:rsidR="006476E0" w:rsidRPr="00821E98" w:rsidRDefault="00B130D7" w:rsidP="00821E98"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四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其他需要说明的情况（如有）。</w:t>
      </w:r>
      <w:bookmarkStart w:id="0" w:name="_GoBack"/>
      <w:bookmarkEnd w:id="0"/>
    </w:p>
    <w:sectPr w:rsidR="006476E0" w:rsidRPr="00821E98" w:rsidSect="00821E98">
      <w:pgSz w:w="11906" w:h="16838"/>
      <w:pgMar w:top="2098" w:right="1588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D7" w:rsidRDefault="00B130D7" w:rsidP="00821E98">
      <w:r>
        <w:separator/>
      </w:r>
    </w:p>
  </w:endnote>
  <w:endnote w:type="continuationSeparator" w:id="0">
    <w:p w:rsidR="00B130D7" w:rsidRDefault="00B130D7" w:rsidP="0082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方正书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D7" w:rsidRDefault="00B130D7" w:rsidP="00821E98">
      <w:r>
        <w:separator/>
      </w:r>
    </w:p>
  </w:footnote>
  <w:footnote w:type="continuationSeparator" w:id="0">
    <w:p w:rsidR="00B130D7" w:rsidRDefault="00B130D7" w:rsidP="00821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73D1D"/>
    <w:rsid w:val="EEEDC6F8"/>
    <w:rsid w:val="EFFBC9FA"/>
    <w:rsid w:val="F6B7B1F4"/>
    <w:rsid w:val="FAE7E739"/>
    <w:rsid w:val="FC3F655D"/>
    <w:rsid w:val="FDA55B6A"/>
    <w:rsid w:val="FDF77E6F"/>
    <w:rsid w:val="FDFB961E"/>
    <w:rsid w:val="FEFFD78B"/>
    <w:rsid w:val="FF7F1991"/>
    <w:rsid w:val="FF9D2585"/>
    <w:rsid w:val="FFA2043B"/>
    <w:rsid w:val="FFA96C78"/>
    <w:rsid w:val="006476E0"/>
    <w:rsid w:val="00821E98"/>
    <w:rsid w:val="00B130D7"/>
    <w:rsid w:val="25FF3DD6"/>
    <w:rsid w:val="2DF347C6"/>
    <w:rsid w:val="2FEED252"/>
    <w:rsid w:val="35B73D1D"/>
    <w:rsid w:val="35BF8CD2"/>
    <w:rsid w:val="36FF69DC"/>
    <w:rsid w:val="37DEF3E2"/>
    <w:rsid w:val="3DFE8838"/>
    <w:rsid w:val="3FDF524E"/>
    <w:rsid w:val="4FB761DC"/>
    <w:rsid w:val="53A90BE0"/>
    <w:rsid w:val="575FBE79"/>
    <w:rsid w:val="5BEB3051"/>
    <w:rsid w:val="5EBBA781"/>
    <w:rsid w:val="5F4F307A"/>
    <w:rsid w:val="659F1BBC"/>
    <w:rsid w:val="66FFF8CA"/>
    <w:rsid w:val="677FFD49"/>
    <w:rsid w:val="69BD1F88"/>
    <w:rsid w:val="6AFAEC3C"/>
    <w:rsid w:val="6DFF1AB3"/>
    <w:rsid w:val="6EDFA52A"/>
    <w:rsid w:val="6EF3A0AC"/>
    <w:rsid w:val="6FDB46E7"/>
    <w:rsid w:val="739FBDF8"/>
    <w:rsid w:val="773CA398"/>
    <w:rsid w:val="7CFF0460"/>
    <w:rsid w:val="7EAFD1EE"/>
    <w:rsid w:val="7EFF5BB6"/>
    <w:rsid w:val="7FC347A2"/>
    <w:rsid w:val="7FFE7291"/>
    <w:rsid w:val="9EFF5D70"/>
    <w:rsid w:val="9F5DE20B"/>
    <w:rsid w:val="AEBE126D"/>
    <w:rsid w:val="AF5F3789"/>
    <w:rsid w:val="B8E7FBF1"/>
    <w:rsid w:val="BDEF8AA3"/>
    <w:rsid w:val="BEF5A11E"/>
    <w:rsid w:val="C7EB4F6D"/>
    <w:rsid w:val="CD918E50"/>
    <w:rsid w:val="D6C52A44"/>
    <w:rsid w:val="E7FDBFB2"/>
    <w:rsid w:val="ED7F9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793415-AFC1-4D99-8E0D-83267B2C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82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1E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yucj</dc:creator>
  <cp:lastModifiedBy>文印室wys</cp:lastModifiedBy>
  <cp:revision>2</cp:revision>
  <dcterms:created xsi:type="dcterms:W3CDTF">2022-12-19T15:59:00Z</dcterms:created>
  <dcterms:modified xsi:type="dcterms:W3CDTF">2022-12-22T00:54:00Z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