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7216" behindDoc="0" locked="0" layoutInCell="1" allowOverlap="1">
                <wp:simplePos x="0" y="0"/>
                <wp:positionH relativeFrom="page">
                  <wp:posOffset>253365</wp:posOffset>
                </wp:positionH>
                <wp:positionV relativeFrom="paragraph">
                  <wp:posOffset>334645</wp:posOffset>
                </wp:positionV>
                <wp:extent cx="7382510" cy="1222375"/>
                <wp:effectExtent l="0" t="0" r="27940" b="16510"/>
                <wp:wrapNone/>
                <wp:docPr id="368" name="文本框 368"/>
                <wp:cNvGraphicFramePr/>
                <a:graphic xmlns:a="http://schemas.openxmlformats.org/drawingml/2006/main">
                  <a:graphicData uri="http://schemas.microsoft.com/office/word/2010/wordprocessingShape">
                    <wps:wsp>
                      <wps:cNvSpPr txBox="true">
                        <a:spLocks noChangeArrowheads="true"/>
                      </wps:cNvSpPr>
                      <wps:spPr bwMode="auto">
                        <a:xfrm>
                          <a:off x="0" y="0"/>
                          <a:ext cx="7382510" cy="1222218"/>
                        </a:xfrm>
                        <a:prstGeom prst="rect">
                          <a:avLst/>
                        </a:prstGeom>
                        <a:solidFill>
                          <a:srgbClr val="FFFFFF"/>
                        </a:solidFill>
                        <a:ln w="9525">
                          <a:solidFill>
                            <a:srgbClr val="FFFFFF"/>
                          </a:solidFill>
                          <a:miter lim="800000"/>
                        </a:ln>
                      </wps:spPr>
                      <wps:txbx>
                        <w:txbxContent>
                          <w:p>
                            <w:pPr>
                              <w:jc w:val="center"/>
                              <w:rPr>
                                <w:rFonts w:ascii="Times New Roman" w:hAnsi="Times New Roman" w:eastAsia="方正大标宋简体"/>
                                <w:color w:val="000000" w:themeColor="text1"/>
                                <w:sz w:val="52"/>
                                <w:szCs w:val="52"/>
                                <w14:textFill>
                                  <w14:solidFill>
                                    <w14:schemeClr w14:val="tx1"/>
                                  </w14:solidFill>
                                </w14:textFill>
                              </w:rPr>
                            </w:pPr>
                            <w:r>
                              <w:rPr>
                                <w:rFonts w:hint="eastAsia" w:ascii="Times New Roman" w:hAnsi="Times New Roman" w:eastAsia="方正大标宋简体"/>
                                <w:sz w:val="52"/>
                                <w:szCs w:val="52"/>
                              </w:rPr>
                              <w:t>上市公司</w:t>
                            </w:r>
                            <w:r>
                              <w:rPr>
                                <w:rFonts w:hint="eastAsia" w:ascii="Times New Roman" w:hAnsi="Times New Roman" w:eastAsia="方正大标宋简体"/>
                                <w:color w:val="000000" w:themeColor="text1"/>
                                <w:sz w:val="52"/>
                                <w:szCs w:val="52"/>
                                <w14:textFill>
                                  <w14:solidFill>
                                    <w14:schemeClr w14:val="tx1"/>
                                  </w14:solidFill>
                                </w14:textFill>
                              </w:rPr>
                              <w:t>第三季度</w:t>
                            </w:r>
                            <w:r>
                              <w:rPr>
                                <w:rFonts w:ascii="Times New Roman" w:hAnsi="Times New Roman" w:eastAsia="方正大标宋简体"/>
                                <w:color w:val="000000" w:themeColor="text1"/>
                                <w:sz w:val="52"/>
                                <w:szCs w:val="52"/>
                                <w14:textFill>
                                  <w14:solidFill>
                                    <w14:schemeClr w14:val="tx1"/>
                                  </w14:solidFill>
                                </w14:textFill>
                              </w:rPr>
                              <w:t>报告内容与格式模板</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9.95pt;margin-top:26.35pt;height:96.25pt;width:581.3pt;mso-position-horizontal-relative:page;z-index:251657216;mso-width-relative:page;mso-height-relative:page;" fillcolor="#FFFFFF" filled="t" stroked="t" coordsize="21600,21600" o:gfxdata="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b/Zgt2AAAAAoBAAAPAAAAAAAAAAEAIAAA&#10;ADgAAABkcnMvZG93bnJldi54bWxQSwECFAAUAAAACACHTuJA23TUAy8CAABLBAAADgAAAAAAAAAB&#10;ACAAAAA9AQAAZHJzL2Uyb0RvYy54bWxQSwUGAAAAAAYABgBZAQAA3gUAAAAA&#10;">
                <v:fill on="t" focussize="0,0"/>
                <v:stroke color="#FFFFFF" miterlimit="8" joinstyle="miter"/>
                <v:imagedata o:title=""/>
                <o:lock v:ext="edit" aspectratio="f"/>
                <v:textbox>
                  <w:txbxContent>
                    <w:p>
                      <w:pPr>
                        <w:jc w:val="center"/>
                        <w:rPr>
                          <w:rFonts w:ascii="Times New Roman" w:hAnsi="Times New Roman" w:eastAsia="方正大标宋简体"/>
                          <w:color w:val="000000" w:themeColor="text1"/>
                          <w:sz w:val="52"/>
                          <w:szCs w:val="52"/>
                          <w14:textFill>
                            <w14:solidFill>
                              <w14:schemeClr w14:val="tx1"/>
                            </w14:solidFill>
                          </w14:textFill>
                        </w:rPr>
                      </w:pPr>
                      <w:r>
                        <w:rPr>
                          <w:rFonts w:hint="eastAsia" w:ascii="Times New Roman" w:hAnsi="Times New Roman" w:eastAsia="方正大标宋简体"/>
                          <w:sz w:val="52"/>
                          <w:szCs w:val="52"/>
                        </w:rPr>
                        <w:t>上市公司</w:t>
                      </w:r>
                      <w:r>
                        <w:rPr>
                          <w:rFonts w:hint="eastAsia" w:ascii="Times New Roman" w:hAnsi="Times New Roman" w:eastAsia="方正大标宋简体"/>
                          <w:color w:val="000000" w:themeColor="text1"/>
                          <w:sz w:val="52"/>
                          <w:szCs w:val="52"/>
                          <w14:textFill>
                            <w14:solidFill>
                              <w14:schemeClr w14:val="tx1"/>
                            </w14:solidFill>
                          </w14:textFill>
                        </w:rPr>
                        <w:t>第三季度</w:t>
                      </w:r>
                      <w:r>
                        <w:rPr>
                          <w:rFonts w:ascii="Times New Roman" w:hAnsi="Times New Roman" w:eastAsia="方正大标宋简体"/>
                          <w:color w:val="000000" w:themeColor="text1"/>
                          <w:sz w:val="52"/>
                          <w:szCs w:val="52"/>
                          <w14:textFill>
                            <w14:solidFill>
                              <w14:schemeClr w14:val="tx1"/>
                            </w14:solidFill>
                          </w14:textFill>
                        </w:rPr>
                        <w:t>报告内容与格式模板</w:t>
                      </w:r>
                    </w:p>
                  </w:txbxContent>
                </v:textbox>
              </v:shape>
            </w:pict>
          </mc:Fallback>
        </mc:AlternateContent>
      </w:r>
    </w:p>
    <w:p>
      <w:pPr>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2311400</wp:posOffset>
                </wp:positionH>
                <wp:positionV relativeFrom="paragraph">
                  <wp:posOffset>94615</wp:posOffset>
                </wp:positionV>
                <wp:extent cx="2778760" cy="1360805"/>
                <wp:effectExtent l="0" t="0" r="21590" b="10795"/>
                <wp:wrapNone/>
                <wp:docPr id="367" name="文本框 367"/>
                <wp:cNvGraphicFramePr/>
                <a:graphic xmlns:a="http://schemas.openxmlformats.org/drawingml/2006/main">
                  <a:graphicData uri="http://schemas.microsoft.com/office/word/2010/wordprocessingShape">
                    <wps:wsp>
                      <wps:cNvSpPr txBox="true">
                        <a:spLocks noChangeArrowheads="true"/>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证</w:t>
                            </w:r>
                            <w:r>
                              <w:rPr>
                                <w:rFonts w:ascii="微软雅黑" w:hAnsi="微软雅黑" w:eastAsia="微软雅黑"/>
                                <w:color w:val="000000" w:themeColor="text1"/>
                                <w:sz w:val="72"/>
                                <w:szCs w:val="72"/>
                                <w14:textFill>
                                  <w14:solidFill>
                                    <w14:schemeClr w14:val="tx1"/>
                                  </w14:solidFill>
                                </w14:textFill>
                              </w:rPr>
                              <w:t xml:space="preserve"> </w:t>
                            </w:r>
                            <w:r>
                              <w:rPr>
                                <w:rFonts w:hint="eastAsia" w:ascii="微软雅黑" w:hAnsi="微软雅黑" w:eastAsia="微软雅黑"/>
                                <w:color w:val="000000" w:themeColor="text1"/>
                                <w:sz w:val="72"/>
                                <w:szCs w:val="72"/>
                                <w14:textFill>
                                  <w14:solidFill>
                                    <w14:schemeClr w14:val="tx1"/>
                                  </w14:solidFill>
                                </w14:textFill>
                              </w:rPr>
                              <w:t>券</w:t>
                            </w:r>
                            <w:r>
                              <w:rPr>
                                <w:rFonts w:ascii="微软雅黑" w:hAnsi="微软雅黑" w:eastAsia="微软雅黑"/>
                                <w:color w:val="000000" w:themeColor="text1"/>
                                <w:sz w:val="72"/>
                                <w:szCs w:val="72"/>
                                <w14:textFill>
                                  <w14:solidFill>
                                    <w14:schemeClr w14:val="tx1"/>
                                  </w14:solidFill>
                                </w14:textFill>
                              </w:rPr>
                              <w:t xml:space="preserve"> 简 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82pt;margin-top:7.45pt;height:107.15pt;width:218.8pt;mso-position-horizontal-relative:margin;z-index:251659264;mso-width-relative:page;mso-height-relative:page;" fillcolor="#FFFFFF" filled="t" stroked="t" coordsize="21600,21600" o:gfxdata="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idetjdgAAAAKAQAADwAAAAAAAAABACAAAAA4AAAAZHJzL2Rvd25yZXYueG1sUEsBAhQA&#10;FAAAAAgAh07iQMGRUQdOAgAAgQQAAA4AAAAAAAAAAQAgAAAAPQEAAGRycy9lMm9Eb2MueG1sUEsF&#10;BgAAAAAGAAYAWQEAAP0FA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证</w:t>
                      </w:r>
                      <w:r>
                        <w:rPr>
                          <w:rFonts w:ascii="微软雅黑" w:hAnsi="微软雅黑" w:eastAsia="微软雅黑"/>
                          <w:color w:val="000000" w:themeColor="text1"/>
                          <w:sz w:val="72"/>
                          <w:szCs w:val="72"/>
                          <w14:textFill>
                            <w14:solidFill>
                              <w14:schemeClr w14:val="tx1"/>
                            </w14:solidFill>
                          </w14:textFill>
                        </w:rPr>
                        <w:t xml:space="preserve"> </w:t>
                      </w:r>
                      <w:r>
                        <w:rPr>
                          <w:rFonts w:hint="eastAsia" w:ascii="微软雅黑" w:hAnsi="微软雅黑" w:eastAsia="微软雅黑"/>
                          <w:color w:val="000000" w:themeColor="text1"/>
                          <w:sz w:val="72"/>
                          <w:szCs w:val="72"/>
                          <w14:textFill>
                            <w14:solidFill>
                              <w14:schemeClr w14:val="tx1"/>
                            </w14:solidFill>
                          </w14:textFill>
                        </w:rPr>
                        <w:t>券</w:t>
                      </w:r>
                      <w:r>
                        <w:rPr>
                          <w:rFonts w:ascii="微软雅黑" w:hAnsi="微软雅黑" w:eastAsia="微软雅黑"/>
                          <w:color w:val="000000" w:themeColor="text1"/>
                          <w:sz w:val="72"/>
                          <w:szCs w:val="72"/>
                          <w14:textFill>
                            <w14:solidFill>
                              <w14:schemeClr w14:val="tx1"/>
                            </w14:solidFill>
                          </w14:textFill>
                        </w:rPr>
                        <w:t xml:space="preserve"> 简 称</w:t>
                      </w:r>
                    </w:p>
                    <w:p>
                      <w:pPr>
                        <w:ind w:firstLine="1100" w:firstLineChars="250"/>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证券代码</w:t>
                      </w:r>
                    </w:p>
                    <w:p>
                      <w:pPr>
                        <w:rPr>
                          <w:rFonts w:ascii="微软雅黑" w:hAnsi="微软雅黑" w:eastAsia="微软雅黑"/>
                          <w:color w:val="70AD47"/>
                          <w:sz w:val="72"/>
                          <w:szCs w:val="72"/>
                        </w:rPr>
                      </w:pPr>
                    </w:p>
                  </w:txbxContent>
                </v:textbox>
              </v:shap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395605</wp:posOffset>
                </wp:positionH>
                <wp:positionV relativeFrom="paragraph">
                  <wp:posOffset>10160</wp:posOffset>
                </wp:positionV>
                <wp:extent cx="1365885" cy="1673860"/>
                <wp:effectExtent l="0" t="0" r="24765" b="21590"/>
                <wp:wrapNone/>
                <wp:docPr id="366" name="文本框 366"/>
                <wp:cNvGraphicFramePr/>
                <a:graphic xmlns:a="http://schemas.openxmlformats.org/drawingml/2006/main">
                  <a:graphicData uri="http://schemas.microsoft.com/office/word/2010/wordprocessingShape">
                    <wps:wsp>
                      <wps:cNvSpPr txBox="true">
                        <a:spLocks noChangeArrowheads="true"/>
                      </wps:cNvSpPr>
                      <wps:spPr bwMode="auto">
                        <a:xfrm>
                          <a:off x="0" y="0"/>
                          <a:ext cx="1365885" cy="1673860"/>
                        </a:xfrm>
                        <a:prstGeom prst="rect">
                          <a:avLst/>
                        </a:prstGeom>
                        <a:solidFill>
                          <a:srgbClr val="FFFFFF"/>
                        </a:solidFill>
                        <a:ln w="6350">
                          <a:solidFill>
                            <a:srgbClr val="5B9BD5">
                              <a:lumMod val="100000"/>
                              <a:lumOff val="0"/>
                            </a:srgbClr>
                          </a:solidFill>
                          <a:miter lim="800000"/>
                        </a:ln>
                      </wps:spPr>
                      <wps:txb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w:t>
                            </w:r>
                            <w:r>
                              <w:rPr>
                                <w:rFonts w:ascii="微软雅黑" w:hAnsi="微软雅黑" w:eastAsia="微软雅黑"/>
                                <w:color w:val="000000" w:themeColor="text1"/>
                                <w:sz w:val="72"/>
                                <w:szCs w:val="72"/>
                                <w14:textFill>
                                  <w14:solidFill>
                                    <w14:schemeClr w14:val="tx1"/>
                                  </w14:solidFill>
                                </w14:textFill>
                              </w:rPr>
                              <w:t xml:space="preserve"> </w:t>
                            </w:r>
                            <w:r>
                              <w:rPr>
                                <w:rFonts w:hint="eastAsia" w:ascii="微软雅黑" w:hAnsi="微软雅黑" w:eastAsia="微软雅黑"/>
                                <w:color w:val="000000" w:themeColor="text1"/>
                                <w:sz w:val="72"/>
                                <w:szCs w:val="72"/>
                                <w14:textFill>
                                  <w14:solidFill>
                                    <w14:schemeClr w14:val="tx1"/>
                                  </w14:solidFill>
                                </w14:textFill>
                              </w:rPr>
                              <w:t>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w:t>
                            </w:r>
                            <w:r>
                              <w:rPr>
                                <w:rFonts w:ascii="微软雅黑" w:hAnsi="微软雅黑" w:eastAsia="微软雅黑"/>
                                <w:color w:val="000000" w:themeColor="text1"/>
                                <w:sz w:val="72"/>
                                <w:szCs w:val="72"/>
                                <w14:textFill>
                                  <w14:solidFill>
                                    <w14:schemeClr w14:val="tx1"/>
                                  </w14:solidFill>
                                </w14:textFill>
                              </w:rPr>
                              <w:t xml:space="preserve"> </w:t>
                            </w:r>
                            <w:r>
                              <w:rPr>
                                <w:rFonts w:hint="eastAsia" w:ascii="微软雅黑" w:hAnsi="微软雅黑" w:eastAsia="微软雅黑"/>
                                <w:color w:val="000000" w:themeColor="text1"/>
                                <w:sz w:val="72"/>
                                <w:szCs w:val="72"/>
                                <w14:textFill>
                                  <w14:solidFill>
                                    <w14:schemeClr w14:val="tx1"/>
                                  </w14:solidFill>
                                </w14:textFill>
                              </w:rPr>
                              <w:t>识</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1.15pt;margin-top:0.8pt;height:131.8pt;width:107.55pt;mso-position-horizontal-relative:margin;z-index:251660288;mso-width-relative:page;mso-height-relative:page;" fillcolor="#FFFFFF" filled="t" stroked="t" coordsize="21600,21600" o:gfxdata="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v66rs1wAAAAgBAAAPAAAAAAAAAAEAIAAAADgAAABkcnMvZG93bnJldi54bWxQSwECFAAU&#10;AAAACACHTuJAxo+hLk4CAACBBAAADgAAAAAAAAABACAAAAA8AQAAZHJzL2Uyb0RvYy54bWxQSwUG&#10;AAAAAAYABgBZAQAA/AUAAAAA&#10;">
                <v:fill on="t" focussize="0,0"/>
                <v:stroke weight="0.5pt" color="#5B9BD5" miterlimit="8" joinstyle="miter"/>
                <v:imagedata o:title=""/>
                <o:lock v:ext="edit" aspectratio="f"/>
                <v:textbox>
                  <w:txbxContent>
                    <w:p>
                      <w:pPr>
                        <w:rPr>
                          <w:rFonts w:ascii="微软雅黑" w:hAnsi="微软雅黑" w:eastAsia="微软雅黑"/>
                          <w:color w:val="000000" w:themeColor="text1"/>
                          <w:sz w:val="72"/>
                          <w:szCs w:val="72"/>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公</w:t>
                      </w:r>
                      <w:r>
                        <w:rPr>
                          <w:rFonts w:ascii="微软雅黑" w:hAnsi="微软雅黑" w:eastAsia="微软雅黑"/>
                          <w:color w:val="000000" w:themeColor="text1"/>
                          <w:sz w:val="72"/>
                          <w:szCs w:val="72"/>
                          <w14:textFill>
                            <w14:solidFill>
                              <w14:schemeClr w14:val="tx1"/>
                            </w14:solidFill>
                          </w14:textFill>
                        </w:rPr>
                        <w:t xml:space="preserve"> </w:t>
                      </w:r>
                      <w:r>
                        <w:rPr>
                          <w:rFonts w:hint="eastAsia" w:ascii="微软雅黑" w:hAnsi="微软雅黑" w:eastAsia="微软雅黑"/>
                          <w:color w:val="000000" w:themeColor="text1"/>
                          <w:sz w:val="72"/>
                          <w:szCs w:val="72"/>
                          <w14:textFill>
                            <w14:solidFill>
                              <w14:schemeClr w14:val="tx1"/>
                            </w14:solidFill>
                          </w14:textFill>
                        </w:rPr>
                        <w:t>司</w:t>
                      </w:r>
                    </w:p>
                    <w:p>
                      <w:pPr>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sz w:val="72"/>
                          <w:szCs w:val="72"/>
                          <w14:textFill>
                            <w14:solidFill>
                              <w14:schemeClr w14:val="tx1"/>
                            </w14:solidFill>
                          </w14:textFill>
                        </w:rPr>
                        <w:t>标</w:t>
                      </w:r>
                      <w:r>
                        <w:rPr>
                          <w:rFonts w:ascii="微软雅黑" w:hAnsi="微软雅黑" w:eastAsia="微软雅黑"/>
                          <w:color w:val="000000" w:themeColor="text1"/>
                          <w:sz w:val="72"/>
                          <w:szCs w:val="72"/>
                          <w14:textFill>
                            <w14:solidFill>
                              <w14:schemeClr w14:val="tx1"/>
                            </w14:solidFill>
                          </w14:textFill>
                        </w:rPr>
                        <w:t xml:space="preserve"> </w:t>
                      </w:r>
                      <w:r>
                        <w:rPr>
                          <w:rFonts w:hint="eastAsia" w:ascii="微软雅黑" w:hAnsi="微软雅黑" w:eastAsia="微软雅黑"/>
                          <w:color w:val="000000" w:themeColor="text1"/>
                          <w:sz w:val="72"/>
                          <w:szCs w:val="72"/>
                          <w14:textFill>
                            <w14:solidFill>
                              <w14:schemeClr w14:val="tx1"/>
                            </w14:solidFill>
                          </w14:textFill>
                        </w:rPr>
                        <w:t>识</w:t>
                      </w:r>
                    </w:p>
                  </w:txbxContent>
                </v:textbox>
              </v:shape>
            </w:pict>
          </mc:Fallback>
        </mc:AlternateContent>
      </w: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p>
    <w:p>
      <w:pPr>
        <w:rPr>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346710</wp:posOffset>
                </wp:positionV>
                <wp:extent cx="5457825" cy="1350010"/>
                <wp:effectExtent l="0" t="0" r="28575" b="22225"/>
                <wp:wrapNone/>
                <wp:docPr id="365" name="文本框 365"/>
                <wp:cNvGraphicFramePr/>
                <a:graphic xmlns:a="http://schemas.openxmlformats.org/drawingml/2006/main">
                  <a:graphicData uri="http://schemas.microsoft.com/office/word/2010/wordprocessingShape">
                    <wps:wsp>
                      <wps:cNvSpPr txBox="true">
                        <a:spLocks noChangeArrowheads="true"/>
                      </wps:cNvSpPr>
                      <wps:spPr bwMode="auto">
                        <a:xfrm>
                          <a:off x="0" y="0"/>
                          <a:ext cx="5457825" cy="1349829"/>
                        </a:xfrm>
                        <a:prstGeom prst="rect">
                          <a:avLst/>
                        </a:prstGeom>
                        <a:solidFill>
                          <a:srgbClr val="FFFFFF"/>
                        </a:solidFill>
                        <a:ln w="6350">
                          <a:solidFill>
                            <a:srgbClr val="5B9BD5">
                              <a:lumMod val="100000"/>
                              <a:lumOff val="0"/>
                            </a:srgbClr>
                          </a:solidFill>
                          <a:miter lim="800000"/>
                        </a:ln>
                      </wps:spPr>
                      <wps:txbx>
                        <w:txbxContent>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XXXX（</w:t>
                            </w:r>
                            <w:r>
                              <w:rPr>
                                <w:rFonts w:hint="eastAsia" w:ascii="微软雅黑" w:hAnsi="微软雅黑" w:eastAsia="微软雅黑"/>
                                <w:color w:val="000000" w:themeColor="text1"/>
                                <w:sz w:val="44"/>
                                <w:szCs w:val="44"/>
                                <w14:textFill>
                                  <w14:solidFill>
                                    <w14:schemeClr w14:val="tx1"/>
                                  </w14:solidFill>
                                </w14:textFill>
                              </w:rPr>
                              <w:t>公司</w:t>
                            </w:r>
                            <w:r>
                              <w:rPr>
                                <w:rFonts w:ascii="微软雅黑" w:hAnsi="微软雅黑" w:eastAsia="微软雅黑"/>
                                <w:color w:val="000000" w:themeColor="text1"/>
                                <w:sz w:val="44"/>
                                <w:szCs w:val="44"/>
                                <w14:textFill>
                                  <w14:solidFill>
                                    <w14:schemeClr w14:val="tx1"/>
                                  </w14:solidFill>
                                </w14:textFill>
                              </w:rPr>
                              <w:t>全称）</w:t>
                            </w:r>
                          </w:p>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2022年第</w:t>
                            </w:r>
                            <w:r>
                              <w:rPr>
                                <w:rFonts w:hint="eastAsia" w:ascii="微软雅黑" w:hAnsi="微软雅黑" w:eastAsia="微软雅黑"/>
                                <w:color w:val="000000" w:themeColor="text1"/>
                                <w:sz w:val="44"/>
                                <w:szCs w:val="44"/>
                                <w14:textFill>
                                  <w14:solidFill>
                                    <w14:schemeClr w14:val="tx1"/>
                                  </w14:solidFill>
                                </w14:textFill>
                              </w:rPr>
                              <w:t>三</w:t>
                            </w:r>
                            <w:r>
                              <w:rPr>
                                <w:rFonts w:ascii="微软雅黑" w:hAnsi="微软雅黑" w:eastAsia="微软雅黑"/>
                                <w:color w:val="000000" w:themeColor="text1"/>
                                <w:sz w:val="44"/>
                                <w:szCs w:val="44"/>
                                <w14:textFill>
                                  <w14:solidFill>
                                    <w14:schemeClr w14:val="tx1"/>
                                  </w14:solidFill>
                                </w14:textFill>
                              </w:rPr>
                              <w:t>季度报告</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 xml:space="preserve">  </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0pt;margin-top:27.3pt;height:106.3pt;width:429.75pt;mso-position-horizontal-relative:margin;z-index:251661312;mso-width-relative:page;mso-height-relative:page;" fillcolor="#FFFFFF" filled="t" stroked="t" coordsize="21600,21600" o:gfxdata="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lA3LAtYAAAAHAQAADwAAAAAAAAABACAAAAA4AAAAZHJzL2Rvd25yZXYueG1sUEsBAhQAFAAA&#10;AAgAh07iQFKXi31NAgAAgQQAAA4AAAAAAAAAAQAgAAAAOwEAAGRycy9lMm9Eb2MueG1sUEsFBgAA&#10;AAAGAAYAWQEAAPoFAAAAAA==&#10;">
                <v:fill on="t" focussize="0,0"/>
                <v:stroke weight="0.5pt" color="#5B9BD5" miterlimit="8" joinstyle="miter"/>
                <v:imagedata o:title=""/>
                <o:lock v:ext="edit" aspectratio="f"/>
                <v:textbox>
                  <w:txbxContent>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XXXX（</w:t>
                      </w:r>
                      <w:r>
                        <w:rPr>
                          <w:rFonts w:hint="eastAsia" w:ascii="微软雅黑" w:hAnsi="微软雅黑" w:eastAsia="微软雅黑"/>
                          <w:color w:val="000000" w:themeColor="text1"/>
                          <w:sz w:val="44"/>
                          <w:szCs w:val="44"/>
                          <w14:textFill>
                            <w14:solidFill>
                              <w14:schemeClr w14:val="tx1"/>
                            </w14:solidFill>
                          </w14:textFill>
                        </w:rPr>
                        <w:t>公司</w:t>
                      </w:r>
                      <w:r>
                        <w:rPr>
                          <w:rFonts w:ascii="微软雅黑" w:hAnsi="微软雅黑" w:eastAsia="微软雅黑"/>
                          <w:color w:val="000000" w:themeColor="text1"/>
                          <w:sz w:val="44"/>
                          <w:szCs w:val="44"/>
                          <w14:textFill>
                            <w14:solidFill>
                              <w14:schemeClr w14:val="tx1"/>
                            </w14:solidFill>
                          </w14:textFill>
                        </w:rPr>
                        <w:t>全称）</w:t>
                      </w:r>
                    </w:p>
                    <w:p>
                      <w:pPr>
                        <w:jc w:val="center"/>
                        <w:rPr>
                          <w:rFonts w:ascii="微软雅黑" w:hAnsi="微软雅黑" w:eastAsia="微软雅黑"/>
                          <w:color w:val="000000" w:themeColor="text1"/>
                          <w:sz w:val="44"/>
                          <w:szCs w:val="44"/>
                          <w14:textFill>
                            <w14:solidFill>
                              <w14:schemeClr w14:val="tx1"/>
                            </w14:solidFill>
                          </w14:textFill>
                        </w:rPr>
                      </w:pPr>
                      <w:r>
                        <w:rPr>
                          <w:rFonts w:ascii="微软雅黑" w:hAnsi="微软雅黑" w:eastAsia="微软雅黑"/>
                          <w:color w:val="000000" w:themeColor="text1"/>
                          <w:sz w:val="44"/>
                          <w:szCs w:val="44"/>
                          <w14:textFill>
                            <w14:solidFill>
                              <w14:schemeClr w14:val="tx1"/>
                            </w14:solidFill>
                          </w14:textFill>
                        </w:rPr>
                        <w:t>2022年第</w:t>
                      </w:r>
                      <w:r>
                        <w:rPr>
                          <w:rFonts w:hint="eastAsia" w:ascii="微软雅黑" w:hAnsi="微软雅黑" w:eastAsia="微软雅黑"/>
                          <w:color w:val="000000" w:themeColor="text1"/>
                          <w:sz w:val="44"/>
                          <w:szCs w:val="44"/>
                          <w14:textFill>
                            <w14:solidFill>
                              <w14:schemeClr w14:val="tx1"/>
                            </w14:solidFill>
                          </w14:textFill>
                        </w:rPr>
                        <w:t>三</w:t>
                      </w:r>
                      <w:r>
                        <w:rPr>
                          <w:rFonts w:ascii="微软雅黑" w:hAnsi="微软雅黑" w:eastAsia="微软雅黑"/>
                          <w:color w:val="000000" w:themeColor="text1"/>
                          <w:sz w:val="44"/>
                          <w:szCs w:val="44"/>
                          <w14:textFill>
                            <w14:solidFill>
                              <w14:schemeClr w14:val="tx1"/>
                            </w14:solidFill>
                          </w14:textFill>
                        </w:rPr>
                        <w:t>季度报告</w:t>
                      </w:r>
                    </w:p>
                    <w:p>
                      <w:pPr>
                        <w:jc w:val="center"/>
                        <w:rPr>
                          <w:rFonts w:ascii="微软雅黑" w:hAnsi="微软雅黑" w:eastAsia="微软雅黑"/>
                          <w:color w:val="000000" w:themeColor="text1"/>
                          <w:sz w:val="44"/>
                          <w:szCs w:val="44"/>
                          <w14:textFill>
                            <w14:solidFill>
                              <w14:schemeClr w14:val="tx1"/>
                            </w14:solidFill>
                          </w14:textFill>
                        </w:rPr>
                      </w:pPr>
                      <w:r>
                        <w:rPr>
                          <w:rFonts w:hint="eastAsia" w:ascii="微软雅黑" w:hAnsi="微软雅黑" w:eastAsia="微软雅黑"/>
                          <w:color w:val="000000" w:themeColor="text1"/>
                          <w:sz w:val="44"/>
                          <w:szCs w:val="44"/>
                          <w14:textFill>
                            <w14:solidFill>
                              <w14:schemeClr w14:val="tx1"/>
                            </w14:solidFill>
                          </w14:textFill>
                        </w:rPr>
                        <w:t xml:space="preserve">  </w:t>
                      </w:r>
                    </w:p>
                  </w:txbxContent>
                </v:textbox>
              </v:shape>
            </w:pict>
          </mc:Fallback>
        </mc:AlternateContent>
      </w:r>
    </w:p>
    <w:p>
      <w:pPr>
        <w:rPr>
          <w:color w:val="000000" w:themeColor="text1"/>
          <w:sz w:val="28"/>
          <w:szCs w:val="28"/>
          <w14:textFill>
            <w14:solidFill>
              <w14:schemeClr w14:val="tx1"/>
            </w14:solidFill>
          </w14:textFill>
        </w:rPr>
        <w:sectPr>
          <w:footerReference r:id="rId3" w:type="default"/>
          <w:footerReference r:id="rId4" w:type="even"/>
          <w:pgSz w:w="11907" w:h="16839"/>
          <w:pgMar w:top="1440" w:right="1797" w:bottom="1440" w:left="1797" w:header="851" w:footer="992" w:gutter="0"/>
          <w:pgNumType w:fmt="numberInDash"/>
          <w:cols w:space="425" w:num="1"/>
          <w:docGrid w:type="lines" w:linePitch="312" w:charSpace="0"/>
        </w:sectPr>
      </w:pPr>
    </w:p>
    <w:p>
      <w:pPr>
        <w:tabs>
          <w:tab w:val="left" w:pos="5140"/>
        </w:tabs>
        <w:jc w:val="center"/>
        <w:rPr>
          <w:rFonts w:ascii="黑体" w:hAnsi="黑体" w:eastAsia="黑体" w:cs="Times New Roman"/>
          <w:color w:val="000000"/>
          <w:sz w:val="36"/>
          <w:szCs w:val="36"/>
        </w:rPr>
      </w:pPr>
      <w:bookmarkStart w:id="0" w:name="_Toc505095877"/>
      <w:r>
        <w:rPr>
          <w:rFonts w:hint="eastAsia" w:ascii="黑体" w:hAnsi="黑体" w:eastAsia="黑体" w:cs="Times New Roman"/>
          <w:color w:val="000000"/>
          <w:sz w:val="36"/>
          <w:szCs w:val="36"/>
        </w:rPr>
        <w:t>目 录</w:t>
      </w:r>
    </w:p>
    <w:p>
      <w:pPr>
        <w:autoSpaceDE w:val="0"/>
        <w:autoSpaceDN w:val="0"/>
        <w:adjustRightInd w:val="0"/>
        <w:spacing w:line="484" w:lineRule="atLeast"/>
        <w:ind w:firstLine="491"/>
        <w:textAlignment w:val="center"/>
        <w:rPr>
          <w:rFonts w:ascii="方正书宋_GBK" w:hAnsi="Times New Roman" w:eastAsia="方正书宋_GBK" w:cs="方正书宋_GBK"/>
          <w:color w:val="000000"/>
          <w:spacing w:val="-5"/>
          <w:kern w:val="0"/>
          <w:sz w:val="24"/>
          <w:szCs w:val="24"/>
          <w:lang w:val="zh-CN"/>
        </w:rPr>
      </w:pPr>
    </w:p>
    <w:p>
      <w:pPr>
        <w:autoSpaceDE w:val="0"/>
        <w:autoSpaceDN w:val="0"/>
        <w:adjustRightInd w:val="0"/>
        <w:spacing w:line="484" w:lineRule="atLeast"/>
        <w:ind w:firstLine="491"/>
        <w:textAlignment w:val="center"/>
        <w:rPr>
          <w:rFonts w:ascii="微软雅黑" w:hAnsi="微软雅黑" w:eastAsia="微软雅黑" w:cs="方正书宋_GBK"/>
          <w:b/>
          <w:color w:val="000000"/>
          <w:kern w:val="0"/>
          <w:sz w:val="24"/>
          <w:szCs w:val="24"/>
          <w:lang w:val="zh-CN"/>
        </w:rPr>
      </w:pPr>
      <w:r>
        <w:rPr>
          <w:rFonts w:hint="eastAsia" w:ascii="微软雅黑" w:hAnsi="微软雅黑" w:eastAsia="微软雅黑" w:cs="方正书宋_GBK"/>
          <w:b/>
          <w:color w:val="000000"/>
          <w:kern w:val="0"/>
          <w:sz w:val="24"/>
          <w:szCs w:val="24"/>
          <w:lang w:val="zh-CN"/>
        </w:rPr>
        <w:t>一</w:t>
      </w:r>
      <w:r>
        <w:rPr>
          <w:rFonts w:ascii="微软雅黑" w:hAnsi="微软雅黑" w:eastAsia="微软雅黑" w:cs="方正书宋_GBK"/>
          <w:b/>
          <w:color w:val="000000"/>
          <w:kern w:val="0"/>
          <w:sz w:val="24"/>
          <w:szCs w:val="24"/>
          <w:lang w:val="zh-CN"/>
        </w:rPr>
        <w:t xml:space="preserve">、 </w:t>
      </w:r>
      <w:r>
        <w:rPr>
          <w:rFonts w:hint="eastAsia" w:ascii="微软雅黑" w:hAnsi="微软雅黑" w:eastAsia="微软雅黑" w:cs="方正书宋_GBK"/>
          <w:b/>
          <w:color w:val="000000"/>
          <w:kern w:val="0"/>
          <w:sz w:val="24"/>
          <w:szCs w:val="24"/>
          <w:lang w:val="zh-CN"/>
        </w:rPr>
        <w:t>重要</w:t>
      </w:r>
      <w:r>
        <w:rPr>
          <w:rFonts w:ascii="微软雅黑" w:hAnsi="微软雅黑" w:eastAsia="微软雅黑" w:cs="方正书宋_GBK"/>
          <w:b/>
          <w:color w:val="000000"/>
          <w:kern w:val="0"/>
          <w:sz w:val="24"/>
          <w:szCs w:val="24"/>
          <w:lang w:val="zh-CN"/>
        </w:rPr>
        <w:t>提示</w:t>
      </w:r>
    </w:p>
    <w:p>
      <w:pPr>
        <w:autoSpaceDE w:val="0"/>
        <w:autoSpaceDN w:val="0"/>
        <w:adjustRightInd w:val="0"/>
        <w:spacing w:line="484" w:lineRule="atLeast"/>
        <w:ind w:firstLine="491"/>
        <w:textAlignment w:val="center"/>
        <w:rPr>
          <w:rFonts w:ascii="微软雅黑" w:hAnsi="微软雅黑" w:eastAsia="微软雅黑" w:cs="方正书宋_GBK"/>
          <w:b/>
          <w:color w:val="000000"/>
          <w:kern w:val="0"/>
          <w:sz w:val="24"/>
          <w:szCs w:val="24"/>
          <w:lang w:val="zh-CN"/>
        </w:rPr>
      </w:pPr>
      <w:r>
        <w:rPr>
          <w:rFonts w:hint="eastAsia" w:ascii="微软雅黑" w:hAnsi="微软雅黑" w:eastAsia="微软雅黑" w:cs="方正书宋_GBK"/>
          <w:b/>
          <w:color w:val="000000"/>
          <w:kern w:val="0"/>
          <w:sz w:val="24"/>
          <w:szCs w:val="24"/>
          <w:lang w:val="zh-CN"/>
        </w:rPr>
        <w:t>二</w:t>
      </w:r>
      <w:r>
        <w:rPr>
          <w:rFonts w:ascii="微软雅黑" w:hAnsi="微软雅黑" w:eastAsia="微软雅黑" w:cs="方正书宋_GBK"/>
          <w:b/>
          <w:color w:val="000000"/>
          <w:kern w:val="0"/>
          <w:sz w:val="24"/>
          <w:szCs w:val="24"/>
          <w:lang w:val="zh-CN"/>
        </w:rPr>
        <w:t xml:space="preserve">、 </w:t>
      </w:r>
      <w:r>
        <w:rPr>
          <w:rFonts w:hint="eastAsia" w:ascii="微软雅黑" w:hAnsi="微软雅黑" w:eastAsia="微软雅黑" w:cs="方正书宋_GBK"/>
          <w:b/>
          <w:color w:val="000000"/>
          <w:kern w:val="0"/>
          <w:sz w:val="24"/>
          <w:szCs w:val="24"/>
          <w:lang w:val="zh-CN"/>
        </w:rPr>
        <w:t>公司基本情况</w:t>
      </w:r>
    </w:p>
    <w:p>
      <w:pPr>
        <w:autoSpaceDE w:val="0"/>
        <w:autoSpaceDN w:val="0"/>
        <w:adjustRightInd w:val="0"/>
        <w:spacing w:line="484" w:lineRule="atLeast"/>
        <w:ind w:firstLine="491"/>
        <w:textAlignment w:val="center"/>
        <w:rPr>
          <w:rFonts w:ascii="微软雅黑" w:hAnsi="微软雅黑" w:eastAsia="微软雅黑" w:cs="方正书宋_GBK"/>
          <w:b/>
          <w:color w:val="000000"/>
          <w:kern w:val="0"/>
          <w:sz w:val="24"/>
          <w:szCs w:val="24"/>
          <w:lang w:val="zh-CN"/>
        </w:rPr>
      </w:pPr>
      <w:r>
        <w:rPr>
          <w:rFonts w:hint="eastAsia" w:ascii="微软雅黑" w:hAnsi="微软雅黑" w:eastAsia="微软雅黑" w:cs="方正书宋_GBK"/>
          <w:b/>
          <w:color w:val="000000"/>
          <w:kern w:val="0"/>
          <w:sz w:val="24"/>
          <w:szCs w:val="24"/>
          <w:lang w:val="zh-CN"/>
        </w:rPr>
        <w:t>三</w:t>
      </w:r>
      <w:r>
        <w:rPr>
          <w:rFonts w:ascii="微软雅黑" w:hAnsi="微软雅黑" w:eastAsia="微软雅黑" w:cs="方正书宋_GBK"/>
          <w:b/>
          <w:color w:val="000000"/>
          <w:kern w:val="0"/>
          <w:sz w:val="24"/>
          <w:szCs w:val="24"/>
          <w:lang w:val="zh-CN"/>
        </w:rPr>
        <w:t xml:space="preserve">、 </w:t>
      </w:r>
      <w:r>
        <w:rPr>
          <w:rFonts w:hint="eastAsia" w:ascii="微软雅黑" w:hAnsi="微软雅黑" w:eastAsia="微软雅黑" w:cs="方正书宋_GBK"/>
          <w:b/>
          <w:color w:val="000000"/>
          <w:kern w:val="0"/>
          <w:sz w:val="24"/>
          <w:szCs w:val="24"/>
          <w:lang w:val="zh-CN"/>
        </w:rPr>
        <w:t>重大事件</w:t>
      </w:r>
    </w:p>
    <w:p>
      <w:pPr>
        <w:autoSpaceDE w:val="0"/>
        <w:autoSpaceDN w:val="0"/>
        <w:adjustRightInd w:val="0"/>
        <w:spacing w:line="484" w:lineRule="atLeast"/>
        <w:ind w:firstLine="491"/>
        <w:textAlignment w:val="center"/>
        <w:rPr>
          <w:rFonts w:ascii="微软雅黑" w:hAnsi="微软雅黑" w:eastAsia="微软雅黑" w:cs="方正书宋_GBK"/>
          <w:b/>
          <w:color w:val="000000"/>
          <w:kern w:val="0"/>
          <w:sz w:val="24"/>
          <w:szCs w:val="24"/>
          <w:lang w:val="zh-CN"/>
        </w:rPr>
      </w:pPr>
      <w:r>
        <w:rPr>
          <w:rFonts w:hint="eastAsia" w:ascii="微软雅黑" w:hAnsi="微软雅黑" w:eastAsia="微软雅黑" w:cs="方正书宋_GBK"/>
          <w:b/>
          <w:color w:val="000000"/>
          <w:kern w:val="0"/>
          <w:sz w:val="24"/>
          <w:szCs w:val="24"/>
          <w:lang w:val="zh-CN"/>
        </w:rPr>
        <w:t>四</w:t>
      </w:r>
      <w:r>
        <w:rPr>
          <w:rFonts w:ascii="微软雅黑" w:hAnsi="微软雅黑" w:eastAsia="微软雅黑" w:cs="方正书宋_GBK"/>
          <w:b/>
          <w:color w:val="000000"/>
          <w:kern w:val="0"/>
          <w:sz w:val="24"/>
          <w:szCs w:val="24"/>
          <w:lang w:val="zh-CN"/>
        </w:rPr>
        <w:t xml:space="preserve">、 </w:t>
      </w:r>
      <w:r>
        <w:rPr>
          <w:rFonts w:hint="eastAsia" w:ascii="微软雅黑" w:hAnsi="微软雅黑" w:eastAsia="微软雅黑" w:cs="方正书宋_GBK"/>
          <w:b/>
          <w:color w:val="000000"/>
          <w:kern w:val="0"/>
          <w:sz w:val="24"/>
          <w:szCs w:val="24"/>
          <w:lang w:val="zh-CN"/>
        </w:rPr>
        <w:t>财务会计报告</w:t>
      </w:r>
    </w:p>
    <w:p>
      <w:pPr>
        <w:tabs>
          <w:tab w:val="left" w:pos="5140"/>
        </w:tabs>
        <w:rPr>
          <w:rFonts w:ascii="微软雅黑" w:hAnsi="微软雅黑" w:eastAsia="微软雅黑" w:cs="方正书宋_GBK"/>
          <w:b/>
          <w:color w:val="000000"/>
          <w:kern w:val="0"/>
          <w:sz w:val="24"/>
          <w:szCs w:val="24"/>
          <w:lang w:val="zh-CN"/>
        </w:rPr>
      </w:pPr>
    </w:p>
    <w:p>
      <w:pPr>
        <w:tabs>
          <w:tab w:val="left" w:pos="5140"/>
        </w:tabs>
        <w:rPr>
          <w:rFonts w:ascii="微软雅黑" w:hAnsi="微软雅黑" w:eastAsia="微软雅黑" w:cs="Times New Roman"/>
          <w:color w:val="000000"/>
          <w:sz w:val="24"/>
          <w:szCs w:val="44"/>
        </w:rPr>
      </w:pPr>
    </w:p>
    <w:p>
      <w:pPr>
        <w:tabs>
          <w:tab w:val="left" w:pos="5140"/>
        </w:tabs>
        <w:jc w:val="center"/>
        <w:rPr>
          <w:rFonts w:ascii="黑体" w:hAnsi="黑体" w:eastAsia="黑体" w:cs="Times New Roman"/>
          <w:color w:val="000000"/>
          <w:sz w:val="36"/>
          <w:szCs w:val="36"/>
        </w:rPr>
      </w:pPr>
      <w:r>
        <w:rPr>
          <w:rFonts w:hint="eastAsia" w:ascii="黑体" w:hAnsi="黑体" w:eastAsia="黑体" w:cs="Times New Roman"/>
          <w:color w:val="000000"/>
          <w:sz w:val="36"/>
          <w:szCs w:val="36"/>
        </w:rPr>
        <w:t>释义</w:t>
      </w:r>
    </w:p>
    <w:tbl>
      <w:tblPr>
        <w:tblStyle w:val="46"/>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828"/>
        <w:gridCol w:w="709"/>
        <w:gridCol w:w="5103"/>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7" w:hRule="atLeast"/>
        </w:trPr>
        <w:tc>
          <w:tcPr>
            <w:tcW w:w="3828" w:type="dxa"/>
            <w:tcBorders>
              <w:top w:val="single" w:color="5B9BD5" w:sz="4" w:space="0"/>
            </w:tcBorders>
          </w:tcPr>
          <w:p>
            <w:pPr>
              <w:jc w:val="center"/>
              <w:rPr>
                <w:rFonts w:ascii="宋体" w:hAnsi="宋体" w:eastAsia="宋体" w:cs="Times New Roman"/>
                <w:color w:val="000000"/>
                <w:kern w:val="0"/>
                <w:sz w:val="22"/>
              </w:rPr>
            </w:pPr>
            <w:r>
              <w:rPr>
                <w:rFonts w:hint="eastAsia" w:ascii="宋体" w:hAnsi="宋体" w:eastAsia="宋体" w:cs="Times New Roman"/>
                <w:b/>
                <w:color w:val="000000"/>
                <w:kern w:val="0"/>
                <w:sz w:val="22"/>
              </w:rPr>
              <w:t>释义</w:t>
            </w:r>
            <w:r>
              <w:rPr>
                <w:rFonts w:ascii="宋体" w:hAnsi="宋体" w:eastAsia="宋体" w:cs="Times New Roman"/>
                <w:b/>
                <w:color w:val="000000"/>
                <w:kern w:val="0"/>
                <w:sz w:val="22"/>
              </w:rPr>
              <w:t>项目</w:t>
            </w:r>
          </w:p>
        </w:tc>
        <w:tc>
          <w:tcPr>
            <w:tcW w:w="709" w:type="dxa"/>
            <w:tcBorders>
              <w:top w:val="single" w:color="5B9BD5" w:sz="4" w:space="0"/>
              <w:right w:val="single" w:color="5B9BD5" w:sz="4" w:space="0"/>
            </w:tcBorders>
          </w:tcPr>
          <w:p>
            <w:pPr>
              <w:jc w:val="center"/>
              <w:rPr>
                <w:rFonts w:ascii="宋体" w:hAnsi="宋体" w:eastAsia="宋体" w:cs="Times New Roman"/>
                <w:b/>
                <w:color w:val="000000"/>
                <w:kern w:val="0"/>
                <w:sz w:val="22"/>
              </w:rPr>
            </w:pPr>
          </w:p>
        </w:tc>
        <w:tc>
          <w:tcPr>
            <w:tcW w:w="5103" w:type="dxa"/>
            <w:tcBorders>
              <w:top w:val="single" w:color="5B9BD5" w:sz="4" w:space="0"/>
              <w:left w:val="single" w:color="5B9BD5" w:sz="4" w:space="0"/>
              <w:right w:val="single" w:color="5B9BD5" w:sz="4" w:space="0"/>
            </w:tcBorders>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释义</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125" w:hRule="atLeast"/>
        </w:trPr>
        <w:tc>
          <w:tcPr>
            <w:tcW w:w="3828" w:type="dxa"/>
          </w:tcPr>
          <w:p>
            <w:pPr>
              <w:jc w:val="left"/>
              <w:rPr>
                <w:rFonts w:ascii="宋体" w:hAnsi="宋体" w:eastAsia="宋体" w:cs="Times New Roman"/>
                <w:color w:val="000000"/>
                <w:kern w:val="0"/>
                <w:sz w:val="22"/>
              </w:rPr>
            </w:pPr>
          </w:p>
        </w:tc>
        <w:tc>
          <w:tcPr>
            <w:tcW w:w="709" w:type="dxa"/>
            <w:tcBorders>
              <w:right w:val="single" w:color="5B9BD5" w:sz="4" w:space="0"/>
            </w:tcBorders>
          </w:tcPr>
          <w:p>
            <w:pPr>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指</w:t>
            </w:r>
          </w:p>
        </w:tc>
        <w:tc>
          <w:tcPr>
            <w:tcW w:w="5103" w:type="dxa"/>
            <w:tcBorders>
              <w:left w:val="single" w:color="5B9BD5" w:sz="4" w:space="0"/>
              <w:right w:val="single" w:color="5B9BD5" w:sz="4" w:space="0"/>
            </w:tcBorders>
          </w:tcPr>
          <w:p>
            <w:pPr>
              <w:rPr>
                <w:rFonts w:ascii="宋体" w:hAnsi="宋体" w:eastAsia="宋体" w:cs="Times New Roman"/>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trPr>
        <w:tc>
          <w:tcPr>
            <w:tcW w:w="3828" w:type="dxa"/>
          </w:tcPr>
          <w:p>
            <w:pPr>
              <w:jc w:val="left"/>
              <w:rPr>
                <w:rFonts w:ascii="宋体" w:hAnsi="宋体" w:eastAsia="宋体" w:cs="Times New Roman"/>
                <w:color w:val="000000"/>
                <w:kern w:val="0"/>
                <w:sz w:val="22"/>
              </w:rPr>
            </w:pPr>
            <w:r>
              <w:rPr>
                <w:rFonts w:hint="eastAsia" w:ascii="宋体" w:hAnsi="宋体" w:eastAsia="宋体" w:cs="Times New Roman"/>
                <w:color w:val="000000"/>
                <w:kern w:val="0"/>
                <w:sz w:val="22"/>
              </w:rPr>
              <w:t>自动添行</w:t>
            </w:r>
          </w:p>
        </w:tc>
        <w:tc>
          <w:tcPr>
            <w:tcW w:w="709" w:type="dxa"/>
            <w:tcBorders>
              <w:top w:val="single" w:color="5B9BD5" w:sz="4" w:space="0"/>
              <w:right w:val="single" w:color="5B9BD5" w:sz="4" w:space="0"/>
            </w:tcBorders>
          </w:tcPr>
          <w:p>
            <w:pPr>
              <w:jc w:val="center"/>
              <w:rPr>
                <w:rFonts w:ascii="宋体" w:hAnsi="宋体" w:eastAsia="宋体" w:cs="Times New Roman"/>
                <w:color w:val="000000"/>
                <w:kern w:val="0"/>
                <w:sz w:val="22"/>
              </w:rPr>
            </w:pPr>
            <w:r>
              <w:rPr>
                <w:rFonts w:hint="eastAsia" w:ascii="宋体" w:hAnsi="宋体" w:eastAsia="宋体" w:cs="Times New Roman"/>
                <w:color w:val="000000"/>
                <w:kern w:val="0"/>
                <w:sz w:val="22"/>
              </w:rPr>
              <w:t>指</w:t>
            </w:r>
          </w:p>
        </w:tc>
        <w:tc>
          <w:tcPr>
            <w:tcW w:w="5103" w:type="dxa"/>
            <w:tcBorders>
              <w:top w:val="single" w:color="5B9BD5" w:sz="4" w:space="0"/>
              <w:left w:val="single" w:color="5B9BD5" w:sz="4" w:space="0"/>
              <w:bottom w:val="single" w:color="5B9BD5" w:sz="4" w:space="0"/>
              <w:right w:val="single" w:color="5B9BD5" w:sz="4" w:space="0"/>
            </w:tcBorders>
          </w:tcPr>
          <w:p>
            <w:pPr>
              <w:rPr>
                <w:rFonts w:ascii="宋体" w:hAnsi="宋体" w:eastAsia="宋体" w:cs="Times New Roman"/>
                <w:color w:val="000000"/>
                <w:kern w:val="0"/>
                <w:sz w:val="22"/>
              </w:rPr>
            </w:pPr>
          </w:p>
        </w:tc>
      </w:tr>
    </w:tbl>
    <w:p/>
    <w:p>
      <w:pPr>
        <w:jc w:val="right"/>
      </w:pPr>
    </w:p>
    <w:p/>
    <w:p>
      <w:pPr>
        <w:rPr>
          <w:b/>
        </w:rPr>
        <w:sectPr>
          <w:pgSz w:w="11907" w:h="16839"/>
          <w:pgMar w:top="1440" w:right="1797" w:bottom="1440" w:left="1797" w:header="851" w:footer="992" w:gutter="0"/>
          <w:pgNumType w:fmt="numberInDash"/>
          <w:cols w:space="425" w:num="1"/>
          <w:docGrid w:type="lines" w:linePitch="312" w:charSpace="0"/>
        </w:sectPr>
      </w:pPr>
    </w:p>
    <w:p>
      <w:pPr>
        <w:pStyle w:val="44"/>
        <w:rPr>
          <w:rFonts w:ascii="黑体" w:hAnsi="黑体" w:eastAsia="黑体"/>
          <w:b w:val="0"/>
          <w:sz w:val="36"/>
          <w:szCs w:val="36"/>
        </w:rPr>
      </w:pPr>
      <w:r>
        <w:rPr>
          <w:rFonts w:hint="eastAsia" w:ascii="黑体" w:hAnsi="黑体" w:eastAsia="黑体"/>
          <w:b w:val="0"/>
          <w:sz w:val="36"/>
          <w:szCs w:val="36"/>
        </w:rPr>
        <w:t>第一节</w:t>
      </w:r>
      <w:r>
        <w:rPr>
          <w:rFonts w:ascii="黑体" w:hAnsi="黑体" w:eastAsia="黑体"/>
          <w:b w:val="0"/>
          <w:sz w:val="36"/>
          <w:szCs w:val="36"/>
        </w:rPr>
        <w:t xml:space="preserve"> </w:t>
      </w:r>
      <w:r>
        <w:rPr>
          <w:rFonts w:hint="eastAsia" w:ascii="黑体" w:hAnsi="黑体" w:eastAsia="黑体"/>
          <w:b w:val="0"/>
          <w:sz w:val="36"/>
          <w:szCs w:val="36"/>
        </w:rPr>
        <w:t>重要提示</w:t>
      </w:r>
      <w:bookmarkEnd w:id="0"/>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保证</w:t>
      </w:r>
      <w:r>
        <w:rPr>
          <w:rFonts w:ascii="宋体" w:hAnsi="宋体" w:eastAsia="宋体" w:cs="方正书宋_GBK"/>
          <w:b/>
          <w:color w:val="000000"/>
          <w:kern w:val="0"/>
          <w:szCs w:val="21"/>
          <w:lang w:val="zh-CN"/>
        </w:rPr>
        <w:t>：</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lang w:val="zh-CN"/>
        </w:rPr>
      </w:pPr>
      <w:r>
        <w:rPr>
          <w:rFonts w:hint="eastAsia" w:asciiTheme="minorEastAsia" w:hAnsiTheme="minorEastAsia"/>
          <w:color w:val="000000" w:themeColor="text1"/>
          <w:szCs w:val="21"/>
          <w14:textFill>
            <w14:solidFill>
              <w14:schemeClr w14:val="tx1"/>
            </w14:solidFill>
          </w14:textFill>
        </w:rPr>
        <w:t>公司</w:t>
      </w:r>
      <w:r>
        <w:rPr>
          <w:rFonts w:hint="eastAsia" w:ascii="宋体" w:hAnsi="宋体" w:eastAsia="宋体" w:cs="方正书宋_GBK"/>
          <w:color w:val="000000"/>
          <w:kern w:val="0"/>
          <w:szCs w:val="21"/>
          <w:lang w:val="zh-CN"/>
        </w:rPr>
        <w:t>董事、监事、高级管理人员保证本报告所载资料不存在虚假记载、误导性陈述或者重大遗漏，并对其内容的真实性、准确性和完整性承担个别及连带责任。</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u w:val="single"/>
          <w:lang w:val="zh-CN"/>
        </w:rPr>
      </w:pPr>
      <w:r>
        <w:rPr>
          <w:rFonts w:hint="eastAsia" w:ascii="宋体" w:hAnsi="宋体" w:eastAsia="宋体" w:cs="方正书宋_GBK"/>
          <w:color w:val="000000"/>
          <w:kern w:val="0"/>
          <w:szCs w:val="21"/>
          <w:lang w:val="zh-CN"/>
        </w:rPr>
        <w:t>公司负责人</w:t>
      </w:r>
      <w:r>
        <w:rPr>
          <w:rFonts w:hint="eastAsia" w:ascii="宋体" w:hAnsi="宋体" w:eastAsia="宋体" w:cs="方正书宋_GBK"/>
          <w:color w:val="FF0000"/>
          <w:kern w:val="0"/>
          <w:szCs w:val="21"/>
          <w:u w:val="single"/>
          <w:lang w:val="zh-CN"/>
        </w:rPr>
        <w:t>（姓名）</w:t>
      </w:r>
      <w:r>
        <w:rPr>
          <w:rFonts w:hint="eastAsia" w:ascii="宋体" w:hAnsi="宋体" w:eastAsia="宋体" w:cs="方正书宋_GBK"/>
          <w:color w:val="000000"/>
          <w:kern w:val="0"/>
          <w:szCs w:val="21"/>
          <w:lang w:val="zh-CN"/>
        </w:rPr>
        <w:t>、主管会计工作负责人</w:t>
      </w:r>
      <w:r>
        <w:rPr>
          <w:rFonts w:hint="eastAsia" w:ascii="宋体" w:hAnsi="宋体" w:eastAsia="宋体" w:cs="方正书宋_GBK"/>
          <w:color w:val="FF0000"/>
          <w:kern w:val="0"/>
          <w:szCs w:val="21"/>
          <w:u w:val="single"/>
          <w:lang w:val="zh-CN"/>
        </w:rPr>
        <w:t>（姓名）</w:t>
      </w:r>
      <w:r>
        <w:rPr>
          <w:rFonts w:hint="eastAsia" w:ascii="宋体" w:hAnsi="宋体" w:eastAsia="宋体" w:cs="方正书宋_GBK"/>
          <w:color w:val="000000"/>
          <w:kern w:val="0"/>
          <w:szCs w:val="21"/>
          <w:lang w:val="zh-CN"/>
        </w:rPr>
        <w:t>及会计机构负责人（会计主管人员）</w:t>
      </w:r>
      <w:r>
        <w:rPr>
          <w:rFonts w:hint="eastAsia" w:ascii="宋体" w:hAnsi="宋体" w:eastAsia="宋体" w:cs="方正书宋_GBK"/>
          <w:color w:val="FF0000"/>
          <w:kern w:val="0"/>
          <w:szCs w:val="21"/>
          <w:u w:val="single"/>
          <w:lang w:val="zh-CN"/>
        </w:rPr>
        <w:t>（姓名）</w:t>
      </w:r>
      <w:r>
        <w:rPr>
          <w:rFonts w:hint="eastAsia" w:ascii="宋体" w:hAnsi="宋体" w:eastAsia="宋体" w:cs="方正书宋_GBK"/>
          <w:color w:val="000000"/>
          <w:kern w:val="0"/>
          <w:szCs w:val="21"/>
          <w:lang w:val="zh-CN"/>
        </w:rPr>
        <w:t>保证季度报告中财务报告的真实、准确</w:t>
      </w:r>
      <w:r>
        <w:rPr>
          <w:rFonts w:ascii="宋体" w:hAnsi="宋体" w:eastAsia="宋体" w:cs="方正书宋_GBK"/>
          <w:color w:val="000000"/>
          <w:kern w:val="0"/>
          <w:szCs w:val="21"/>
          <w:lang w:val="zh-CN"/>
        </w:rPr>
        <w:t>、</w:t>
      </w:r>
      <w:r>
        <w:rPr>
          <w:rFonts w:hint="eastAsia" w:ascii="宋体" w:hAnsi="宋体" w:eastAsia="宋体" w:cs="方正书宋_GBK"/>
          <w:color w:val="000000"/>
          <w:kern w:val="0"/>
          <w:szCs w:val="21"/>
          <w:lang w:val="zh-CN"/>
        </w:rPr>
        <w:t>完整。</w:t>
      </w:r>
    </w:p>
    <w:p>
      <w:pPr>
        <w:autoSpaceDE w:val="0"/>
        <w:autoSpaceDN w:val="0"/>
        <w:adjustRightInd w:val="0"/>
        <w:spacing w:line="484" w:lineRule="atLeast"/>
        <w:textAlignment w:val="center"/>
        <w:rPr>
          <w:rFonts w:ascii="宋体" w:hAnsi="宋体" w:eastAsia="宋体" w:cs="方正书宋_GBK"/>
          <w:b/>
          <w:color w:val="000000"/>
          <w:kern w:val="0"/>
          <w:szCs w:val="21"/>
          <w:lang w:val="zh-CN"/>
        </w:rPr>
      </w:pPr>
      <w:r>
        <w:rPr>
          <w:rFonts w:hint="eastAsia" w:ascii="宋体" w:hAnsi="宋体" w:eastAsia="宋体" w:cs="方正书宋_GBK"/>
          <w:b/>
          <w:color w:val="000000"/>
          <w:kern w:val="0"/>
          <w:szCs w:val="21"/>
          <w:lang w:val="zh-CN"/>
        </w:rPr>
        <w:t>无法保证</w:t>
      </w:r>
      <w:r>
        <w:rPr>
          <w:rFonts w:ascii="宋体" w:hAnsi="宋体" w:eastAsia="宋体" w:cs="方正书宋_GBK"/>
          <w:b/>
          <w:color w:val="000000"/>
          <w:kern w:val="0"/>
          <w:szCs w:val="21"/>
          <w:lang w:val="zh-CN"/>
        </w:rPr>
        <w:t>：</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lang w:val="zh-CN"/>
        </w:rPr>
      </w:pPr>
      <w:r>
        <w:rPr>
          <w:rFonts w:hint="eastAsia" w:ascii="宋体" w:hAnsi="宋体" w:eastAsia="宋体" w:cs="方正书宋_GBK"/>
          <w:color w:val="FF0000"/>
          <w:kern w:val="0"/>
          <w:szCs w:val="21"/>
          <w:u w:val="single"/>
          <w:lang w:val="zh-CN"/>
        </w:rPr>
        <w:t>（无法保证的人员</w:t>
      </w:r>
      <w:r>
        <w:rPr>
          <w:rFonts w:ascii="宋体" w:hAnsi="宋体" w:eastAsia="宋体" w:cs="方正书宋_GBK"/>
          <w:color w:val="FF0000"/>
          <w:kern w:val="0"/>
          <w:szCs w:val="21"/>
          <w:u w:val="single"/>
          <w:lang w:val="zh-CN"/>
        </w:rPr>
        <w:t>职位</w:t>
      </w:r>
      <w:r>
        <w:rPr>
          <w:rFonts w:hint="eastAsia" w:ascii="宋体" w:hAnsi="宋体" w:eastAsia="宋体" w:cs="方正书宋_GBK"/>
          <w:color w:val="FF0000"/>
          <w:kern w:val="0"/>
          <w:szCs w:val="21"/>
          <w:u w:val="single"/>
          <w:lang w:val="zh-CN"/>
        </w:rPr>
        <w:t>、</w:t>
      </w:r>
      <w:r>
        <w:rPr>
          <w:rFonts w:ascii="宋体" w:hAnsi="宋体" w:eastAsia="宋体" w:cs="方正书宋_GBK"/>
          <w:color w:val="FF0000"/>
          <w:kern w:val="0"/>
          <w:szCs w:val="21"/>
          <w:u w:val="single"/>
          <w:lang w:val="zh-CN"/>
        </w:rPr>
        <w:t>姓名</w:t>
      </w:r>
      <w:r>
        <w:rPr>
          <w:rFonts w:hint="eastAsia" w:ascii="宋体" w:hAnsi="宋体" w:eastAsia="宋体" w:cs="方正书宋_GBK"/>
          <w:color w:val="FF0000"/>
          <w:kern w:val="0"/>
          <w:szCs w:val="21"/>
          <w:u w:val="single"/>
          <w:lang w:val="zh-CN"/>
        </w:rPr>
        <w:t>）</w:t>
      </w:r>
      <w:r>
        <w:rPr>
          <w:rFonts w:hint="eastAsia" w:ascii="宋体" w:hAnsi="宋体" w:eastAsia="宋体" w:cs="方正书宋_GBK"/>
          <w:color w:val="000000"/>
          <w:kern w:val="0"/>
          <w:szCs w:val="21"/>
          <w:lang w:val="zh-CN"/>
        </w:rPr>
        <w:t>对季度报告内容存在异议，无法保证季度报告中财务报告的真实、准确</w:t>
      </w:r>
      <w:r>
        <w:rPr>
          <w:rFonts w:ascii="宋体" w:hAnsi="宋体" w:eastAsia="宋体" w:cs="方正书宋_GBK"/>
          <w:color w:val="000000"/>
          <w:kern w:val="0"/>
          <w:szCs w:val="21"/>
          <w:lang w:val="zh-CN"/>
        </w:rPr>
        <w:t>、</w:t>
      </w:r>
      <w:r>
        <w:rPr>
          <w:rFonts w:hint="eastAsia" w:ascii="宋体" w:hAnsi="宋体" w:eastAsia="宋体" w:cs="方正书宋_GBK"/>
          <w:color w:val="000000"/>
          <w:kern w:val="0"/>
          <w:szCs w:val="21"/>
          <w:lang w:val="zh-CN"/>
        </w:rPr>
        <w:t>完整。</w:t>
      </w:r>
    </w:p>
    <w:p>
      <w:pPr>
        <w:autoSpaceDE w:val="0"/>
        <w:autoSpaceDN w:val="0"/>
        <w:adjustRightInd w:val="0"/>
        <w:spacing w:line="484" w:lineRule="atLeast"/>
        <w:textAlignment w:val="center"/>
        <w:rPr>
          <w:rFonts w:ascii="宋体" w:hAnsi="宋体" w:eastAsia="宋体" w:cs="方正书宋_GBK"/>
          <w:color w:val="000000"/>
          <w:kern w:val="0"/>
          <w:szCs w:val="21"/>
          <w:lang w:val="zh-CN"/>
        </w:rPr>
      </w:pPr>
      <w:r>
        <w:rPr>
          <w:rFonts w:hint="eastAsia" w:ascii="宋体" w:hAnsi="宋体" w:eastAsia="宋体" w:cs="方正书宋_GBK"/>
          <w:b/>
          <w:color w:val="000000"/>
          <w:kern w:val="0"/>
          <w:szCs w:val="21"/>
          <w:lang w:val="zh-CN"/>
        </w:rPr>
        <w:t>审计情况-未经审计</w:t>
      </w:r>
      <w:r>
        <w:rPr>
          <w:rFonts w:ascii="宋体" w:hAnsi="宋体" w:eastAsia="宋体" w:cs="方正书宋_GBK"/>
          <w:b/>
          <w:color w:val="000000"/>
          <w:kern w:val="0"/>
          <w:szCs w:val="21"/>
          <w:lang w:val="zh-CN"/>
        </w:rPr>
        <w:t>：</w:t>
      </w:r>
      <w:r>
        <w:rPr>
          <w:rFonts w:hint="eastAsia" w:ascii="宋体" w:hAnsi="宋体" w:eastAsia="宋体" w:cs="方正书宋_GBK"/>
          <w:color w:val="000000"/>
          <w:kern w:val="0"/>
          <w:szCs w:val="21"/>
          <w:lang w:val="zh-CN"/>
        </w:rPr>
        <w:t>本季度</w:t>
      </w:r>
      <w:r>
        <w:rPr>
          <w:rFonts w:ascii="宋体" w:hAnsi="宋体" w:eastAsia="宋体" w:cs="方正书宋_GBK"/>
          <w:color w:val="000000"/>
          <w:kern w:val="0"/>
          <w:szCs w:val="21"/>
          <w:lang w:val="zh-CN"/>
        </w:rPr>
        <w:t>报告</w:t>
      </w:r>
      <w:r>
        <w:rPr>
          <w:rFonts w:hint="eastAsia" w:ascii="宋体" w:hAnsi="宋体" w:eastAsia="宋体" w:cs="方正书宋_GBK"/>
          <w:color w:val="000000"/>
          <w:kern w:val="0"/>
          <w:szCs w:val="21"/>
          <w:lang w:val="zh-CN"/>
        </w:rPr>
        <w:t>未经会计师</w:t>
      </w:r>
      <w:r>
        <w:rPr>
          <w:rFonts w:ascii="宋体" w:hAnsi="宋体" w:eastAsia="宋体" w:cs="方正书宋_GBK"/>
          <w:color w:val="000000"/>
          <w:kern w:val="0"/>
          <w:szCs w:val="21"/>
          <w:lang w:val="zh-CN"/>
        </w:rPr>
        <w:t>事务所审计</w:t>
      </w:r>
      <w:r>
        <w:rPr>
          <w:rFonts w:hint="eastAsia" w:ascii="宋体" w:hAnsi="宋体" w:eastAsia="宋体" w:cs="方正书宋_GBK"/>
          <w:color w:val="000000"/>
          <w:kern w:val="0"/>
          <w:szCs w:val="21"/>
          <w:lang w:val="zh-CN"/>
        </w:rPr>
        <w:t>。</w:t>
      </w:r>
    </w:p>
    <w:p>
      <w:pPr>
        <w:autoSpaceDE w:val="0"/>
        <w:autoSpaceDN w:val="0"/>
        <w:adjustRightInd w:val="0"/>
        <w:spacing w:line="484" w:lineRule="atLeast"/>
        <w:textAlignment w:val="center"/>
        <w:rPr>
          <w:rFonts w:ascii="宋体" w:hAnsi="宋体" w:eastAsia="宋体" w:cs="方正书宋_GBK"/>
          <w:color w:val="000000"/>
          <w:kern w:val="0"/>
          <w:szCs w:val="21"/>
          <w:lang w:val="zh-CN"/>
        </w:rPr>
      </w:pPr>
      <w:r>
        <w:rPr>
          <w:rFonts w:hint="eastAsia" w:ascii="宋体" w:hAnsi="宋体" w:eastAsia="宋体" w:cs="方正书宋_GBK"/>
          <w:b/>
          <w:color w:val="000000"/>
          <w:kern w:val="0"/>
          <w:szCs w:val="21"/>
          <w:lang w:val="zh-CN"/>
        </w:rPr>
        <w:t>审计情况-标准</w:t>
      </w:r>
      <w:r>
        <w:rPr>
          <w:rFonts w:ascii="宋体" w:hAnsi="宋体" w:eastAsia="宋体" w:cs="方正书宋_GBK"/>
          <w:b/>
          <w:color w:val="000000"/>
          <w:kern w:val="0"/>
          <w:szCs w:val="21"/>
          <w:lang w:val="zh-CN"/>
        </w:rPr>
        <w:t>无保留意见：</w:t>
      </w:r>
      <w:r>
        <w:rPr>
          <w:rFonts w:hint="eastAsia" w:ascii="宋体" w:hAnsi="宋体" w:eastAsia="宋体" w:cs="方正书宋_GBK"/>
          <w:color w:val="FF0000"/>
          <w:kern w:val="0"/>
          <w:szCs w:val="21"/>
          <w:u w:val="single"/>
          <w:lang w:val="zh-CN"/>
        </w:rPr>
        <w:t>（会计师事务所）</w:t>
      </w:r>
      <w:r>
        <w:rPr>
          <w:rFonts w:hint="eastAsia" w:ascii="宋体" w:hAnsi="宋体" w:eastAsia="宋体" w:cs="方正书宋_GBK"/>
          <w:color w:val="000000"/>
          <w:kern w:val="0"/>
          <w:szCs w:val="21"/>
          <w:lang w:val="zh-CN"/>
        </w:rPr>
        <w:t>对公司出具</w:t>
      </w:r>
      <w:r>
        <w:rPr>
          <w:rFonts w:hint="eastAsia" w:ascii="宋体" w:hAnsi="宋体" w:eastAsia="宋体" w:cs="方正书宋_GBK"/>
          <w:color w:val="000000" w:themeColor="text1"/>
          <w:kern w:val="0"/>
          <w:szCs w:val="21"/>
          <w:lang w:val="zh-CN"/>
          <w14:textFill>
            <w14:solidFill>
              <w14:schemeClr w14:val="tx1"/>
            </w14:solidFill>
          </w14:textFill>
        </w:rPr>
        <w:t>了标准无保留意见</w:t>
      </w:r>
      <w:r>
        <w:rPr>
          <w:rFonts w:hint="eastAsia" w:ascii="宋体" w:hAnsi="宋体" w:eastAsia="宋体" w:cs="方正书宋_GBK"/>
          <w:color w:val="000000"/>
          <w:kern w:val="0"/>
          <w:szCs w:val="21"/>
          <w:lang w:val="zh-CN"/>
        </w:rPr>
        <w:t>的审计报告。</w:t>
      </w:r>
    </w:p>
    <w:p>
      <w:pPr>
        <w:spacing w:line="484" w:lineRule="atLeast"/>
        <w:rPr>
          <w:rFonts w:ascii="宋体" w:hAnsi="宋体" w:eastAsia="宋体" w:cs="Times New Roman"/>
          <w:color w:val="000000"/>
          <w:szCs w:val="21"/>
        </w:rPr>
      </w:pPr>
      <w:r>
        <w:rPr>
          <w:rFonts w:hint="eastAsia" w:ascii="宋体" w:hAnsi="宋体" w:eastAsia="宋体" w:cs="Times New Roman"/>
          <w:b/>
          <w:color w:val="000000"/>
          <w:szCs w:val="21"/>
        </w:rPr>
        <w:t>审计情况-非标准审计</w:t>
      </w:r>
      <w:r>
        <w:rPr>
          <w:rFonts w:ascii="宋体" w:hAnsi="宋体" w:eastAsia="宋体" w:cs="Times New Roman"/>
          <w:b/>
          <w:color w:val="000000"/>
          <w:szCs w:val="21"/>
        </w:rPr>
        <w:t>意见</w:t>
      </w:r>
      <w:r>
        <w:rPr>
          <w:rFonts w:hint="eastAsia" w:ascii="宋体" w:hAnsi="宋体" w:eastAsia="宋体" w:cs="Times New Roman"/>
          <w:b/>
          <w:color w:val="000000"/>
          <w:szCs w:val="21"/>
        </w:rPr>
        <w:t>-</w:t>
      </w:r>
      <w:r>
        <w:rPr>
          <w:rFonts w:ascii="宋体" w:hAnsi="宋体" w:eastAsia="宋体" w:cs="Times New Roman"/>
          <w:b/>
          <w:color w:val="000000"/>
          <w:szCs w:val="21"/>
        </w:rPr>
        <w:t>无特别段落：</w:t>
      </w:r>
      <w:r>
        <w:rPr>
          <w:rFonts w:hint="eastAsia" w:ascii="宋体" w:hAnsi="宋体" w:eastAsia="宋体" w:cs="Times New Roman"/>
          <w:color w:val="FF0000"/>
          <w:szCs w:val="21"/>
          <w:u w:val="single"/>
        </w:rPr>
        <w:t>（会计师事务所）</w:t>
      </w:r>
      <w:r>
        <w:rPr>
          <w:rFonts w:hint="eastAsia" w:ascii="宋体" w:hAnsi="宋体" w:eastAsia="宋体" w:cs="Times New Roman"/>
          <w:color w:val="000000"/>
          <w:szCs w:val="21"/>
        </w:rPr>
        <w:t>对公司出具了（</w:t>
      </w:r>
      <w:r>
        <w:rPr>
          <w:rFonts w:ascii="宋体" w:hAnsi="宋体" w:eastAsia="宋体" w:cs="方正书宋_GBK"/>
          <w:color w:val="FF0000"/>
          <w:kern w:val="0"/>
          <w:szCs w:val="21"/>
          <w:u w:val="single"/>
          <w:lang w:val="zh-CN"/>
        </w:rPr>
        <w:t>保留意见/否定意见/</w:t>
      </w:r>
      <w:r>
        <w:rPr>
          <w:rFonts w:hint="eastAsia" w:ascii="宋体" w:hAnsi="宋体" w:eastAsia="宋体" w:cs="方正书宋_GBK"/>
          <w:color w:val="FF0000"/>
          <w:kern w:val="0"/>
          <w:szCs w:val="21"/>
          <w:u w:val="single"/>
          <w:lang w:val="zh-CN"/>
        </w:rPr>
        <w:t>无法表示意见</w:t>
      </w:r>
      <w:r>
        <w:rPr>
          <w:rFonts w:hint="eastAsia" w:ascii="宋体" w:hAnsi="宋体" w:eastAsia="宋体" w:cs="Times New Roman"/>
          <w:color w:val="000000"/>
          <w:szCs w:val="21"/>
        </w:rPr>
        <w:t>）的审计报告，本公司</w:t>
      </w:r>
      <w:r>
        <w:rPr>
          <w:rFonts w:ascii="宋体" w:hAnsi="宋体" w:eastAsia="宋体" w:cs="Times New Roman"/>
          <w:color w:val="000000"/>
          <w:szCs w:val="21"/>
        </w:rPr>
        <w:t>董事会、监事会对相关事项</w:t>
      </w:r>
      <w:r>
        <w:rPr>
          <w:rFonts w:hint="eastAsia" w:ascii="宋体" w:hAnsi="宋体" w:eastAsia="宋体" w:cs="Times New Roman"/>
          <w:color w:val="000000"/>
          <w:szCs w:val="21"/>
        </w:rPr>
        <w:t>已有详细</w:t>
      </w:r>
      <w:r>
        <w:rPr>
          <w:rFonts w:ascii="宋体" w:hAnsi="宋体" w:eastAsia="宋体" w:cs="Times New Roman"/>
          <w:color w:val="000000"/>
          <w:szCs w:val="21"/>
        </w:rPr>
        <w:t>说明，请投资</w:t>
      </w:r>
      <w:r>
        <w:rPr>
          <w:rFonts w:hint="eastAsia" w:ascii="宋体" w:hAnsi="宋体" w:eastAsia="宋体" w:cs="Times New Roman"/>
          <w:color w:val="000000"/>
          <w:szCs w:val="21"/>
        </w:rPr>
        <w:t>者</w:t>
      </w:r>
      <w:r>
        <w:rPr>
          <w:rFonts w:ascii="宋体" w:hAnsi="宋体" w:eastAsia="宋体" w:cs="Times New Roman"/>
          <w:color w:val="000000"/>
          <w:szCs w:val="21"/>
        </w:rPr>
        <w:t>注意阅读。</w:t>
      </w:r>
    </w:p>
    <w:p>
      <w:pPr>
        <w:spacing w:line="484" w:lineRule="atLeast"/>
        <w:rPr>
          <w:rFonts w:ascii="宋体" w:hAnsi="宋体" w:eastAsia="宋体" w:cs="Times New Roman"/>
          <w:color w:val="000000"/>
          <w:szCs w:val="21"/>
        </w:rPr>
      </w:pPr>
      <w:r>
        <w:rPr>
          <w:rFonts w:hint="eastAsia" w:ascii="宋体" w:hAnsi="宋体" w:eastAsia="宋体" w:cs="Times New Roman"/>
          <w:b/>
          <w:color w:val="000000"/>
          <w:szCs w:val="21"/>
        </w:rPr>
        <w:t>审计情况-非标准审计</w:t>
      </w:r>
      <w:r>
        <w:rPr>
          <w:rFonts w:ascii="宋体" w:hAnsi="宋体" w:eastAsia="宋体" w:cs="Times New Roman"/>
          <w:b/>
          <w:color w:val="000000"/>
          <w:szCs w:val="21"/>
        </w:rPr>
        <w:t>意见</w:t>
      </w:r>
      <w:r>
        <w:rPr>
          <w:rFonts w:hint="eastAsia" w:ascii="宋体" w:hAnsi="宋体" w:eastAsia="宋体" w:cs="Times New Roman"/>
          <w:b/>
          <w:color w:val="000000"/>
          <w:szCs w:val="21"/>
        </w:rPr>
        <w:t>-</w:t>
      </w:r>
      <w:r>
        <w:rPr>
          <w:rFonts w:ascii="宋体" w:hAnsi="宋体" w:eastAsia="宋体" w:cs="Times New Roman"/>
          <w:b/>
          <w:color w:val="000000"/>
          <w:szCs w:val="21"/>
        </w:rPr>
        <w:t>带特别段落：</w:t>
      </w:r>
      <w:r>
        <w:rPr>
          <w:rFonts w:hint="eastAsia" w:ascii="宋体" w:hAnsi="宋体" w:eastAsia="宋体" w:cs="Times New Roman"/>
          <w:color w:val="FF0000"/>
          <w:szCs w:val="21"/>
          <w:u w:val="single"/>
        </w:rPr>
        <w:t>（会计师事务所）</w:t>
      </w:r>
      <w:r>
        <w:rPr>
          <w:rFonts w:hint="eastAsia" w:ascii="宋体" w:hAnsi="宋体" w:eastAsia="宋体" w:cs="Times New Roman"/>
          <w:color w:val="000000"/>
          <w:szCs w:val="21"/>
        </w:rPr>
        <w:t>对公司出具了（</w:t>
      </w:r>
      <w:r>
        <w:rPr>
          <w:rFonts w:hint="eastAsia" w:ascii="宋体" w:hAnsi="宋体" w:eastAsia="宋体" w:cs="方正书宋_GBK"/>
          <w:color w:val="FF0000"/>
          <w:kern w:val="0"/>
          <w:szCs w:val="21"/>
          <w:lang w:val="zh-CN"/>
        </w:rPr>
        <w:t>带</w:t>
      </w:r>
      <w:r>
        <w:rPr>
          <w:rFonts w:hint="eastAsia" w:ascii="宋体" w:hAnsi="宋体" w:eastAsia="宋体" w:cs="方正书宋_GBK"/>
          <w:color w:val="FF0000"/>
          <w:kern w:val="0"/>
          <w:szCs w:val="21"/>
          <w:u w:val="single"/>
          <w:lang w:val="zh-CN"/>
        </w:rPr>
        <w:t>（强调</w:t>
      </w:r>
      <w:r>
        <w:rPr>
          <w:rFonts w:ascii="宋体" w:hAnsi="宋体" w:eastAsia="宋体" w:cs="方正书宋_GBK"/>
          <w:color w:val="FF0000"/>
          <w:kern w:val="0"/>
          <w:szCs w:val="21"/>
          <w:u w:val="single"/>
          <w:lang w:val="zh-CN"/>
        </w:rPr>
        <w:t>事项段/其他</w:t>
      </w:r>
      <w:r>
        <w:rPr>
          <w:rFonts w:hint="eastAsia" w:ascii="宋体" w:hAnsi="宋体" w:eastAsia="宋体" w:cs="方正书宋_GBK"/>
          <w:color w:val="FF0000"/>
          <w:kern w:val="0"/>
          <w:szCs w:val="21"/>
          <w:u w:val="single"/>
          <w:lang w:val="zh-CN"/>
        </w:rPr>
        <w:t>事项段</w:t>
      </w:r>
      <w:r>
        <w:rPr>
          <w:rFonts w:ascii="宋体" w:hAnsi="宋体" w:eastAsia="宋体" w:cs="方正书宋_GBK"/>
          <w:color w:val="FF0000"/>
          <w:kern w:val="0"/>
          <w:szCs w:val="21"/>
          <w:u w:val="single"/>
          <w:lang w:val="zh-CN"/>
        </w:rPr>
        <w:t>/持续经营重大不确定</w:t>
      </w:r>
      <w:r>
        <w:rPr>
          <w:rFonts w:hint="eastAsia" w:ascii="宋体" w:hAnsi="宋体" w:eastAsia="宋体" w:cs="方正书宋_GBK"/>
          <w:color w:val="FF0000"/>
          <w:kern w:val="0"/>
          <w:szCs w:val="21"/>
          <w:u w:val="single"/>
          <w:lang w:val="zh-CN"/>
        </w:rPr>
        <w:t>性</w:t>
      </w:r>
      <w:r>
        <w:rPr>
          <w:rFonts w:ascii="宋体" w:hAnsi="宋体" w:eastAsia="宋体" w:cs="方正书宋_GBK"/>
          <w:color w:val="FF0000"/>
          <w:kern w:val="0"/>
          <w:szCs w:val="21"/>
          <w:u w:val="single"/>
          <w:lang w:val="zh-CN"/>
        </w:rPr>
        <w:t>段落/其他信息段落中包含其他信息存在未更正重大错报说明</w:t>
      </w:r>
      <w:r>
        <w:rPr>
          <w:rFonts w:hint="eastAsia" w:ascii="宋体" w:hAnsi="宋体" w:eastAsia="宋体" w:cs="方正书宋_GBK"/>
          <w:color w:val="FF0000"/>
          <w:kern w:val="0"/>
          <w:szCs w:val="21"/>
          <w:u w:val="single"/>
          <w:lang w:val="zh-CN"/>
        </w:rPr>
        <w:t>）</w:t>
      </w:r>
      <w:r>
        <w:rPr>
          <w:rFonts w:hint="eastAsia" w:ascii="宋体" w:hAnsi="宋体" w:eastAsia="宋体" w:cs="方正书宋_GBK"/>
          <w:color w:val="FF0000"/>
          <w:kern w:val="0"/>
          <w:szCs w:val="21"/>
          <w:lang w:val="zh-CN"/>
        </w:rPr>
        <w:t>的</w:t>
      </w:r>
      <w:r>
        <w:rPr>
          <w:rFonts w:hint="eastAsia" w:ascii="宋体" w:hAnsi="宋体" w:eastAsia="宋体" w:cs="方正书宋_GBK"/>
          <w:color w:val="FF0000"/>
          <w:kern w:val="0"/>
          <w:szCs w:val="21"/>
          <w:u w:val="single"/>
          <w:lang w:val="zh-CN"/>
        </w:rPr>
        <w:t>（无保留意见</w:t>
      </w:r>
      <w:r>
        <w:rPr>
          <w:rFonts w:ascii="宋体" w:hAnsi="宋体" w:eastAsia="宋体" w:cs="方正书宋_GBK"/>
          <w:color w:val="FF0000"/>
          <w:kern w:val="0"/>
          <w:szCs w:val="21"/>
          <w:u w:val="single"/>
          <w:lang w:val="zh-CN"/>
        </w:rPr>
        <w:t>/保留意见/否定意见/</w:t>
      </w:r>
      <w:r>
        <w:rPr>
          <w:rFonts w:hint="eastAsia" w:ascii="宋体" w:hAnsi="宋体" w:eastAsia="宋体" w:cs="方正书宋_GBK"/>
          <w:color w:val="FF0000"/>
          <w:kern w:val="0"/>
          <w:szCs w:val="21"/>
          <w:u w:val="single"/>
          <w:lang w:val="zh-CN"/>
        </w:rPr>
        <w:t>无法表示意见）</w:t>
      </w:r>
      <w:r>
        <w:rPr>
          <w:rFonts w:hint="eastAsia" w:ascii="宋体" w:hAnsi="宋体" w:eastAsia="宋体" w:cs="Times New Roman"/>
          <w:color w:val="000000"/>
          <w:szCs w:val="21"/>
        </w:rPr>
        <w:t>）的审计报告，本公司</w:t>
      </w:r>
      <w:r>
        <w:rPr>
          <w:rFonts w:ascii="宋体" w:hAnsi="宋体" w:eastAsia="宋体" w:cs="Times New Roman"/>
          <w:color w:val="000000"/>
          <w:szCs w:val="21"/>
        </w:rPr>
        <w:t>董事会、监事会对相关事项</w:t>
      </w:r>
      <w:r>
        <w:rPr>
          <w:rFonts w:hint="eastAsia" w:ascii="宋体" w:hAnsi="宋体" w:eastAsia="宋体" w:cs="Times New Roman"/>
          <w:color w:val="000000"/>
          <w:szCs w:val="21"/>
        </w:rPr>
        <w:t>已有详细</w:t>
      </w:r>
      <w:r>
        <w:rPr>
          <w:rFonts w:ascii="宋体" w:hAnsi="宋体" w:eastAsia="宋体" w:cs="Times New Roman"/>
          <w:color w:val="000000"/>
          <w:szCs w:val="21"/>
        </w:rPr>
        <w:t>说明，请投资</w:t>
      </w:r>
      <w:r>
        <w:rPr>
          <w:rFonts w:hint="eastAsia" w:ascii="宋体" w:hAnsi="宋体" w:eastAsia="宋体" w:cs="Times New Roman"/>
          <w:color w:val="000000"/>
          <w:szCs w:val="21"/>
        </w:rPr>
        <w:t>者</w:t>
      </w:r>
      <w:r>
        <w:rPr>
          <w:rFonts w:ascii="宋体" w:hAnsi="宋体" w:eastAsia="宋体" w:cs="Times New Roman"/>
          <w:color w:val="000000"/>
          <w:szCs w:val="21"/>
        </w:rPr>
        <w:t>注意阅读。</w:t>
      </w:r>
    </w:p>
    <w:p>
      <w:pPr>
        <w:autoSpaceDE w:val="0"/>
        <w:autoSpaceDN w:val="0"/>
        <w:adjustRightInd w:val="0"/>
        <w:spacing w:line="484" w:lineRule="atLeast"/>
        <w:ind w:firstLine="420" w:firstLineChars="200"/>
        <w:textAlignment w:val="center"/>
        <w:rPr>
          <w:rFonts w:ascii="宋体" w:hAnsi="宋体" w:eastAsia="宋体" w:cs="方正书宋_GBK"/>
          <w:color w:val="000000"/>
          <w:kern w:val="0"/>
          <w:szCs w:val="21"/>
          <w:lang w:val="zh-CN"/>
        </w:rPr>
      </w:pPr>
      <w:r>
        <w:rPr>
          <w:rFonts w:hint="eastAsia" w:ascii="宋体" w:hAnsi="宋体" w:eastAsia="宋体" w:cs="方正书宋_GBK"/>
          <w:color w:val="000000"/>
          <w:kern w:val="0"/>
          <w:szCs w:val="21"/>
          <w:lang w:val="zh-CN"/>
        </w:rPr>
        <w:t>本季度报告涉及未来计划等前瞻性陈述，不构成公司对投资者的实质承诺，投资者及相关人士均应对此保持足够的风险认识，并且应当理解计划、预测与承诺之间的差异。</w:t>
      </w:r>
      <w:r>
        <w:rPr>
          <w:rFonts w:hint="eastAsia" w:asciiTheme="minorEastAsia" w:hAnsiTheme="minorEastAsia"/>
          <w:color w:val="FF0000"/>
          <w:szCs w:val="21"/>
        </w:rPr>
        <w:t>（不涉及的可删除此段）</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454"/>
        <w:gridCol w:w="118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8454"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事项</w:t>
            </w:r>
          </w:p>
        </w:tc>
        <w:tc>
          <w:tcPr>
            <w:tcW w:w="1185" w:type="dxa"/>
            <w:shd w:val="pct10" w:color="auto" w:fill="auto"/>
            <w:vAlign w:val="center"/>
          </w:tcPr>
          <w:p>
            <w:pPr>
              <w:jc w:val="center"/>
              <w:rPr>
                <w:rFonts w:ascii="Times New Roman" w:hAnsi="Times New Roman"/>
                <w:b/>
                <w:color w:val="000000" w:themeColor="text1"/>
                <w:kern w:val="0"/>
                <w:sz w:val="22"/>
                <w14:textFill>
                  <w14:solidFill>
                    <w14:schemeClr w14:val="tx1"/>
                  </w14:solidFill>
                </w14:textFill>
              </w:rPr>
            </w:pPr>
            <w:r>
              <w:rPr>
                <w:rFonts w:hint="eastAsia" w:ascii="Times New Roman" w:hAnsi="Times New Roman"/>
                <w:b/>
                <w:color w:val="000000" w:themeColor="text1"/>
                <w:kern w:val="0"/>
                <w:sz w:val="22"/>
                <w14:textFill>
                  <w14:solidFill>
                    <w14:schemeClr w14:val="tx1"/>
                  </w14:solidFill>
                </w14:textFill>
              </w:rPr>
              <w:t>是或否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78"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color w:val="000000" w:themeColor="text1"/>
                <w:spacing w:val="-5"/>
                <w:sz w:val="22"/>
                <w14:textFill>
                  <w14:solidFill>
                    <w14:schemeClr w14:val="tx1"/>
                  </w14:solidFill>
                </w14:textFill>
              </w:rPr>
              <w:t>是否</w:t>
            </w:r>
            <w:r>
              <w:rPr>
                <w:rFonts w:asciiTheme="minorEastAsia" w:hAnsiTheme="minorEastAsia"/>
                <w:color w:val="000000" w:themeColor="text1"/>
                <w:spacing w:val="-5"/>
                <w:sz w:val="22"/>
                <w14:textFill>
                  <w14:solidFill>
                    <w14:schemeClr w14:val="tx1"/>
                  </w14:solidFill>
                </w14:textFill>
              </w:rPr>
              <w:t>存在</w:t>
            </w:r>
            <w:r>
              <w:rPr>
                <w:rFonts w:hint="eastAsia" w:asciiTheme="minorEastAsia" w:hAnsiTheme="minorEastAsia"/>
                <w:color w:val="000000" w:themeColor="text1"/>
                <w:spacing w:val="-5"/>
                <w:sz w:val="22"/>
                <w14:textFill>
                  <w14:solidFill>
                    <w14:schemeClr w14:val="tx1"/>
                  </w14:solidFill>
                </w14:textFill>
              </w:rPr>
              <w:t>公司董事、监事、高级管理人员对季度报告内容存在异议或无法保证其真实、准确、完整</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w:t>
            </w:r>
            <w:r>
              <w:rPr>
                <w:rFonts w:ascii="Times New Roman" w:hAnsi="Times New Roman"/>
                <w:color w:val="FF0000"/>
                <w:kern w:val="0"/>
                <w:sz w:val="22"/>
              </w:rPr>
              <w:t>/</w:t>
            </w:r>
            <w:r>
              <w:rPr>
                <w:rFonts w:hint="eastAsia" w:ascii="Times New Roman" w:hAnsi="Times New Roman"/>
                <w:color w:val="FF0000"/>
                <w:kern w:val="0"/>
                <w:sz w:val="22"/>
              </w:rPr>
              <w:t>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99"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w:t>
            </w:r>
            <w:r>
              <w:rPr>
                <w:rFonts w:asciiTheme="minorEastAsia" w:hAnsiTheme="minorEastAsia"/>
                <w:color w:val="000000" w:themeColor="text1"/>
                <w:sz w:val="22"/>
                <w14:textFill>
                  <w14:solidFill>
                    <w14:schemeClr w14:val="tx1"/>
                  </w14:solidFill>
                </w14:textFill>
              </w:rPr>
              <w:t>存在</w:t>
            </w:r>
            <w:r>
              <w:rPr>
                <w:rFonts w:hint="eastAsia" w:asciiTheme="minorEastAsia" w:hAnsiTheme="minorEastAsia"/>
                <w:color w:val="000000" w:themeColor="text1"/>
                <w:sz w:val="22"/>
                <w14:textFill>
                  <w14:solidFill>
                    <w14:schemeClr w14:val="tx1"/>
                  </w14:solidFill>
                </w14:textFill>
              </w:rPr>
              <w:t>未出席董事会审议季度报告的董事</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9" w:hRule="atLeast"/>
        </w:trPr>
        <w:tc>
          <w:tcPr>
            <w:tcW w:w="8454" w:type="dxa"/>
          </w:tcPr>
          <w:p>
            <w:pPr>
              <w:rPr>
                <w:rFonts w:ascii="Times New Roman" w:hAnsi="Times New Roman"/>
                <w:color w:val="000000" w:themeColor="text1"/>
                <w:kern w:val="0"/>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是否存在未按</w:t>
            </w:r>
            <w:r>
              <w:rPr>
                <w:rFonts w:asciiTheme="minorEastAsia" w:hAnsiTheme="minorEastAsia"/>
                <w:color w:val="000000" w:themeColor="text1"/>
                <w:sz w:val="22"/>
                <w14:textFill>
                  <w14:solidFill>
                    <w14:schemeClr w14:val="tx1"/>
                  </w14:solidFill>
                </w14:textFill>
              </w:rPr>
              <w:t>要求披露的事项</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9" w:hRule="atLeast"/>
        </w:trPr>
        <w:tc>
          <w:tcPr>
            <w:tcW w:w="8454" w:type="dxa"/>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是否审计</w:t>
            </w:r>
          </w:p>
        </w:tc>
        <w:tc>
          <w:tcPr>
            <w:tcW w:w="1185" w:type="dxa"/>
          </w:tcPr>
          <w:p>
            <w:pPr>
              <w:rPr>
                <w:rFonts w:ascii="Times New Roman" w:hAnsi="Times New Roman"/>
                <w:color w:val="000000" w:themeColor="text1"/>
                <w:kern w:val="0"/>
                <w:sz w:val="22"/>
                <w14:textFill>
                  <w14:solidFill>
                    <w14:schemeClr w14:val="tx1"/>
                  </w14:solidFill>
                </w14:textFill>
              </w:rPr>
            </w:pPr>
            <w:r>
              <w:rPr>
                <w:rFonts w:hint="eastAsia" w:ascii="Times New Roman" w:hAnsi="Times New Roman"/>
                <w:color w:val="FF0000"/>
                <w:kern w:val="0"/>
                <w:sz w:val="22"/>
              </w:rPr>
              <w:t>（是/否）</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49" w:hRule="atLeast"/>
        </w:trPr>
        <w:tc>
          <w:tcPr>
            <w:tcW w:w="8454" w:type="dxa"/>
          </w:tcPr>
          <w:p>
            <w:pPr>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是否被出具非标准审计意见</w:t>
            </w:r>
          </w:p>
        </w:tc>
        <w:tc>
          <w:tcPr>
            <w:tcW w:w="1185" w:type="dxa"/>
          </w:tcPr>
          <w:p>
            <w:pPr>
              <w:rPr>
                <w:rFonts w:ascii="Times New Roman" w:hAnsi="Times New Roman"/>
                <w:color w:val="FF0000"/>
                <w:kern w:val="0"/>
                <w:sz w:val="22"/>
              </w:rPr>
            </w:pPr>
            <w:r>
              <w:rPr>
                <w:rFonts w:hint="eastAsia" w:ascii="Times New Roman" w:hAnsi="Times New Roman"/>
                <w:color w:val="FF0000"/>
                <w:kern w:val="0"/>
                <w:sz w:val="22"/>
              </w:rPr>
              <w:t>（是/否）</w:t>
            </w:r>
          </w:p>
        </w:tc>
      </w:tr>
    </w:tbl>
    <w:p>
      <w:pPr>
        <w:pStyle w:val="63"/>
        <w:numPr>
          <w:ilvl w:val="0"/>
          <w:numId w:val="1"/>
        </w:num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lang w:val="en-US"/>
          <w14:textFill>
            <w14:solidFill>
              <w14:schemeClr w14:val="tx1"/>
            </w14:solidFill>
          </w14:textFill>
        </w:rPr>
        <w:t>公司</w:t>
      </w:r>
      <w:r>
        <w:rPr>
          <w:rFonts w:hint="eastAsia" w:asciiTheme="minorEastAsia" w:hAnsiTheme="minorEastAsia" w:eastAsiaTheme="minorEastAsia"/>
          <w:color w:val="000000" w:themeColor="text1"/>
          <w:sz w:val="21"/>
          <w:szCs w:val="21"/>
          <w14:textFill>
            <w14:solidFill>
              <w14:schemeClr w14:val="tx1"/>
            </w14:solidFill>
          </w14:textFill>
        </w:rPr>
        <w:t>董事</w:t>
      </w:r>
      <w:r>
        <w:rPr>
          <w:rFonts w:asciiTheme="minorEastAsia" w:hAnsiTheme="minorEastAsia" w:eastAsiaTheme="minorEastAsia"/>
          <w:color w:val="000000" w:themeColor="text1"/>
          <w:sz w:val="21"/>
          <w:szCs w:val="21"/>
          <w14:textFill>
            <w14:solidFill>
              <w14:schemeClr w14:val="tx1"/>
            </w14:solidFill>
          </w14:textFill>
        </w:rPr>
        <w:t>、监事、高级管理人员对</w:t>
      </w:r>
      <w:r>
        <w:rPr>
          <w:rFonts w:hint="eastAsia" w:asciiTheme="minorEastAsia" w:hAnsiTheme="minorEastAsia" w:eastAsiaTheme="minorEastAsia"/>
          <w:color w:val="000000" w:themeColor="text1"/>
          <w:sz w:val="21"/>
          <w:szCs w:val="21"/>
          <w14:textFill>
            <w14:solidFill>
              <w14:schemeClr w14:val="tx1"/>
            </w14:solidFill>
          </w14:textFill>
        </w:rPr>
        <w:t>季度</w:t>
      </w:r>
      <w:r>
        <w:rPr>
          <w:rFonts w:asciiTheme="minorEastAsia" w:hAnsiTheme="minorEastAsia" w:eastAsiaTheme="minorEastAsia"/>
          <w:color w:val="000000" w:themeColor="text1"/>
          <w:sz w:val="21"/>
          <w:szCs w:val="21"/>
          <w14:textFill>
            <w14:solidFill>
              <w14:schemeClr w14:val="tx1"/>
            </w14:solidFill>
          </w14:textFill>
        </w:rPr>
        <w:t>报告</w:t>
      </w:r>
      <w:r>
        <w:rPr>
          <w:rFonts w:hint="eastAsia" w:asciiTheme="minorEastAsia" w:hAnsiTheme="minorEastAsia" w:eastAsiaTheme="minorEastAsia"/>
          <w:color w:val="000000" w:themeColor="text1"/>
          <w:sz w:val="21"/>
          <w:szCs w:val="21"/>
          <w14:textFill>
            <w14:solidFill>
              <w14:schemeClr w14:val="tx1"/>
            </w14:solidFill>
          </w14:textFill>
        </w:rPr>
        <w:t>内容存在</w:t>
      </w:r>
      <w:r>
        <w:rPr>
          <w:rFonts w:asciiTheme="minorEastAsia" w:hAnsiTheme="minorEastAsia" w:eastAsiaTheme="minorEastAsia"/>
          <w:color w:val="000000" w:themeColor="text1"/>
          <w:sz w:val="21"/>
          <w:szCs w:val="21"/>
          <w14:textFill>
            <w14:solidFill>
              <w14:schemeClr w14:val="tx1"/>
            </w14:solidFill>
          </w14:textFill>
        </w:rPr>
        <w:t>异议或无法保证</w:t>
      </w:r>
      <w:r>
        <w:rPr>
          <w:rFonts w:hint="eastAsia" w:asciiTheme="minorEastAsia" w:hAnsiTheme="minorEastAsia" w:eastAsiaTheme="minorEastAsia"/>
          <w:color w:val="000000" w:themeColor="text1"/>
          <w:sz w:val="21"/>
          <w:szCs w:val="21"/>
          <w14:textFill>
            <w14:solidFill>
              <w14:schemeClr w14:val="tx1"/>
            </w14:solidFill>
          </w14:textFill>
        </w:rPr>
        <w:t>的理由</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3" w:hRule="atLeast"/>
        </w:trPr>
        <w:tc>
          <w:tcPr>
            <w:tcW w:w="9639" w:type="dxa"/>
          </w:tcPr>
          <w:p>
            <w:pPr>
              <w:tabs>
                <w:tab w:val="left" w:pos="5140"/>
              </w:tabs>
              <w:rPr>
                <w:rFonts w:asciiTheme="minorEastAsia" w:hAnsiTheme="minorEastAsia"/>
                <w:color w:val="000000" w:themeColor="text1"/>
                <w:szCs w:val="44"/>
                <w14:textFill>
                  <w14:solidFill>
                    <w14:schemeClr w14:val="tx1"/>
                  </w14:solidFill>
                </w14:textFill>
              </w:rPr>
            </w:pPr>
          </w:p>
        </w:tc>
      </w:tr>
    </w:tbl>
    <w:p>
      <w:pPr>
        <w:numPr>
          <w:ilvl w:val="0"/>
          <w:numId w:val="1"/>
        </w:numPr>
        <w:tabs>
          <w:tab w:val="left" w:pos="5140"/>
        </w:tabs>
        <w:rPr>
          <w:rFonts w:asciiTheme="minorEastAsia" w:hAnsiTheme="minorEastAsia"/>
          <w:color w:val="000000" w:themeColor="text1"/>
          <w:szCs w:val="44"/>
          <w14:textFill>
            <w14:solidFill>
              <w14:schemeClr w14:val="tx1"/>
            </w14:solidFill>
          </w14:textFill>
        </w:rPr>
      </w:pPr>
      <w:r>
        <w:rPr>
          <w:rFonts w:hint="eastAsia" w:asciiTheme="minorEastAsia" w:hAnsiTheme="minorEastAsia"/>
          <w:color w:val="000000" w:themeColor="text1"/>
          <w:szCs w:val="44"/>
          <w14:textFill>
            <w14:solidFill>
              <w14:schemeClr w14:val="tx1"/>
            </w14:solidFill>
          </w14:textFill>
        </w:rPr>
        <w:t>未出席董事会审议季度报告的董事姓名及未出席的理由</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3" w:hRule="atLeast"/>
        </w:trPr>
        <w:tc>
          <w:tcPr>
            <w:tcW w:w="9639" w:type="dxa"/>
          </w:tcPr>
          <w:p>
            <w:pPr>
              <w:tabs>
                <w:tab w:val="left" w:pos="5140"/>
              </w:tabs>
              <w:rPr>
                <w:rFonts w:asciiTheme="minorEastAsia" w:hAnsiTheme="minorEastAsia"/>
                <w:color w:val="000000" w:themeColor="text1"/>
                <w:szCs w:val="44"/>
                <w14:textFill>
                  <w14:solidFill>
                    <w14:schemeClr w14:val="tx1"/>
                  </w14:solidFill>
                </w14:textFill>
              </w:rPr>
            </w:pPr>
          </w:p>
        </w:tc>
      </w:tr>
    </w:tbl>
    <w:p>
      <w:pPr>
        <w:numPr>
          <w:ilvl w:val="0"/>
          <w:numId w:val="1"/>
        </w:numPr>
        <w:tabs>
          <w:tab w:val="left" w:pos="5140"/>
        </w:tabs>
        <w:rPr>
          <w:rFonts w:asciiTheme="minorEastAsia" w:hAnsiTheme="minorEastAsia"/>
          <w:color w:val="000000" w:themeColor="text1"/>
          <w:szCs w:val="44"/>
          <w14:textFill>
            <w14:solidFill>
              <w14:schemeClr w14:val="tx1"/>
            </w14:solidFill>
          </w14:textFill>
        </w:rPr>
      </w:pPr>
      <w:r>
        <w:rPr>
          <w:rFonts w:hint="eastAsia" w:asciiTheme="minorEastAsia" w:hAnsiTheme="minorEastAsia"/>
          <w:color w:val="000000" w:themeColor="text1"/>
          <w:szCs w:val="44"/>
          <w14:textFill>
            <w14:solidFill>
              <w14:schemeClr w14:val="tx1"/>
            </w14:solidFill>
          </w14:textFill>
        </w:rPr>
        <w:t>未按</w:t>
      </w:r>
      <w:r>
        <w:rPr>
          <w:rFonts w:asciiTheme="minorEastAsia" w:hAnsiTheme="minorEastAsia"/>
          <w:color w:val="000000" w:themeColor="text1"/>
          <w:szCs w:val="44"/>
          <w14:textFill>
            <w14:solidFill>
              <w14:schemeClr w14:val="tx1"/>
            </w14:solidFill>
          </w14:textFill>
        </w:rPr>
        <w:t>要求</w:t>
      </w:r>
      <w:r>
        <w:rPr>
          <w:rFonts w:hint="eastAsia" w:asciiTheme="minorEastAsia" w:hAnsiTheme="minorEastAsia"/>
          <w:color w:val="000000" w:themeColor="text1"/>
          <w:szCs w:val="44"/>
          <w14:textFill>
            <w14:solidFill>
              <w14:schemeClr w14:val="tx1"/>
            </w14:solidFill>
          </w14:textFill>
        </w:rPr>
        <w:t>披露的事项及原因</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53" w:hRule="atLeast"/>
        </w:trPr>
        <w:tc>
          <w:tcPr>
            <w:tcW w:w="9639" w:type="dxa"/>
          </w:tcPr>
          <w:p>
            <w:pPr>
              <w:tabs>
                <w:tab w:val="left" w:pos="5140"/>
              </w:tabs>
              <w:rPr>
                <w:rFonts w:asciiTheme="minorEastAsia" w:hAnsiTheme="minorEastAsia"/>
                <w:i/>
                <w:color w:val="000000" w:themeColor="text1"/>
                <w:szCs w:val="44"/>
                <w14:textFill>
                  <w14:solidFill>
                    <w14:schemeClr w14:val="tx1"/>
                  </w14:solidFill>
                </w14:textFill>
              </w:rPr>
            </w:pPr>
            <w:r>
              <w:rPr>
                <w:rFonts w:hint="eastAsia" w:asciiTheme="minorEastAsia" w:hAnsiTheme="minorEastAsia"/>
                <w:i/>
                <w:color w:val="FF0000"/>
                <w:szCs w:val="44"/>
              </w:rPr>
              <w:t>注</w:t>
            </w:r>
            <w:r>
              <w:rPr>
                <w:rFonts w:asciiTheme="minorEastAsia" w:hAnsiTheme="minorEastAsia"/>
                <w:i/>
                <w:color w:val="FF0000"/>
                <w:szCs w:val="44"/>
              </w:rPr>
              <w:t>：</w:t>
            </w:r>
            <w:r>
              <w:rPr>
                <w:rFonts w:hint="eastAsia" w:asciiTheme="minorEastAsia" w:hAnsiTheme="minorEastAsia"/>
                <w:i/>
                <w:color w:val="FF0000"/>
                <w:szCs w:val="44"/>
              </w:rPr>
              <w:t>由于国家秘密、商业秘密等特殊原因导致本模板规定的某些信息确实不便披露的，公司可以不予披露，但应详细说明未按要求进行披露的原因。</w:t>
            </w:r>
          </w:p>
          <w:p>
            <w:pPr>
              <w:tabs>
                <w:tab w:val="left" w:pos="5140"/>
              </w:tabs>
              <w:rPr>
                <w:rFonts w:asciiTheme="minorEastAsia" w:hAnsiTheme="minorEastAsia"/>
                <w:color w:val="000000" w:themeColor="text1"/>
                <w:szCs w:val="44"/>
                <w14:textFill>
                  <w14:solidFill>
                    <w14:schemeClr w14:val="tx1"/>
                  </w14:solidFill>
                </w14:textFill>
              </w:rPr>
            </w:pPr>
          </w:p>
        </w:tc>
      </w:tr>
    </w:tbl>
    <w:p>
      <w:pPr>
        <w:tabs>
          <w:tab w:val="left" w:pos="5140"/>
        </w:tabs>
        <w:rPr>
          <w:rFonts w:ascii="宋体" w:hAnsi="宋体" w:eastAsia="宋体" w:cs="Times New Roman"/>
          <w:color w:val="000000"/>
          <w:szCs w:val="44"/>
        </w:rPr>
      </w:pPr>
      <w:r>
        <w:rPr>
          <w:rFonts w:ascii="宋体" w:hAnsi="宋体" w:eastAsia="宋体" w:cs="Times New Roman"/>
          <w:color w:val="000000"/>
          <w:szCs w:val="44"/>
        </w:rPr>
        <w:t>4</w:t>
      </w:r>
      <w:r>
        <w:rPr>
          <w:rFonts w:hint="eastAsia" w:ascii="宋体" w:hAnsi="宋体" w:eastAsia="宋体" w:cs="Times New Roman"/>
          <w:color w:val="000000"/>
          <w:szCs w:val="44"/>
        </w:rPr>
        <w:t>、</w:t>
      </w:r>
      <w:r>
        <w:rPr>
          <w:rFonts w:hint="eastAsia" w:ascii="宋体" w:hAnsi="宋体" w:eastAsia="宋体" w:cs="Times New Roman"/>
          <w:color w:val="000000"/>
          <w:szCs w:val="21"/>
        </w:rPr>
        <w:t>董事会</w:t>
      </w:r>
      <w:r>
        <w:rPr>
          <w:rFonts w:ascii="宋体" w:hAnsi="宋体" w:eastAsia="宋体" w:cs="Times New Roman"/>
          <w:color w:val="000000"/>
          <w:szCs w:val="21"/>
        </w:rPr>
        <w:t>就非标准审计</w:t>
      </w:r>
      <w:r>
        <w:rPr>
          <w:rFonts w:hint="eastAsia" w:ascii="宋体" w:hAnsi="宋体" w:eastAsia="宋体" w:cs="Times New Roman"/>
          <w:color w:val="000000"/>
          <w:szCs w:val="21"/>
        </w:rPr>
        <w:t>意见</w:t>
      </w:r>
      <w:r>
        <w:rPr>
          <w:rFonts w:ascii="宋体" w:hAnsi="宋体" w:eastAsia="宋体" w:cs="Times New Roman"/>
          <w:color w:val="000000"/>
          <w:szCs w:val="21"/>
        </w:rPr>
        <w:t>的说明</w:t>
      </w:r>
    </w:p>
    <w:tbl>
      <w:tblPr>
        <w:tblStyle w:val="46"/>
        <w:tblW w:w="9639" w:type="dxa"/>
        <w:tblInd w:w="-572" w:type="dxa"/>
        <w:tblLayout w:type="autofit"/>
        <w:tblCellMar>
          <w:top w:w="0" w:type="dxa"/>
          <w:left w:w="108" w:type="dxa"/>
          <w:bottom w:w="0" w:type="dxa"/>
          <w:right w:w="108" w:type="dxa"/>
        </w:tblCellMar>
      </w:tblPr>
      <w:tblGrid>
        <w:gridCol w:w="9639"/>
      </w:tblGrid>
      <w:tr>
        <w:tblPrEx>
          <w:tblCellMar>
            <w:top w:w="0" w:type="dxa"/>
            <w:left w:w="108" w:type="dxa"/>
            <w:bottom w:w="0" w:type="dxa"/>
            <w:right w:w="108" w:type="dxa"/>
          </w:tblCellMar>
        </w:tblPrEx>
        <w:trPr>
          <w:trHeight w:val="153" w:hRule="atLeast"/>
        </w:trPr>
        <w:tc>
          <w:tcPr>
            <w:tcW w:w="9639"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FF0000"/>
                <w:szCs w:val="21"/>
              </w:rPr>
            </w:pPr>
            <w:r>
              <w:rPr>
                <w:rFonts w:ascii="宋体" w:hAnsi="宋体" w:eastAsia="宋体" w:cs="Times New Roman"/>
                <w:i/>
                <w:color w:val="FF0000"/>
                <w:szCs w:val="21"/>
              </w:rPr>
              <w:t>说明中应当明确说明非标准审计意见涉及事项是否违反企业会计准则及其相关信息披露规范性规定</w:t>
            </w:r>
            <w:r>
              <w:rPr>
                <w:rFonts w:hint="eastAsia" w:ascii="宋体" w:hAnsi="宋体" w:eastAsia="宋体" w:cs="Times New Roman"/>
                <w:i/>
                <w:color w:val="FF0000"/>
                <w:szCs w:val="21"/>
              </w:rPr>
              <w:t>。</w:t>
            </w:r>
          </w:p>
          <w:p>
            <w:pPr>
              <w:tabs>
                <w:tab w:val="left" w:pos="5140"/>
              </w:tabs>
              <w:rPr>
                <w:rFonts w:ascii="宋体" w:hAnsi="宋体" w:eastAsia="宋体" w:cs="Times New Roman"/>
                <w:color w:val="000000"/>
                <w:szCs w:val="44"/>
              </w:rPr>
            </w:pPr>
          </w:p>
        </w:tc>
      </w:tr>
    </w:tbl>
    <w:p>
      <w:pPr>
        <w:rPr>
          <w:rFonts w:ascii="Calibri" w:hAnsi="Calibri" w:eastAsia="宋体" w:cs="Times New Roman"/>
          <w:b/>
        </w:rPr>
      </w:pPr>
      <w:r>
        <w:rPr>
          <w:rFonts w:hint="eastAsia" w:ascii="Calibri" w:hAnsi="Calibri" w:eastAsia="宋体" w:cs="Times New Roman"/>
          <w:b/>
        </w:rPr>
        <w:t>【备查文件目录】</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127"/>
        <w:gridCol w:w="751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tcPr>
          <w:p>
            <w:pPr>
              <w:jc w:val="center"/>
              <w:rPr>
                <w:rFonts w:ascii="Calibri" w:hAnsi="Calibri" w:eastAsia="宋体" w:cs="Times New Roman"/>
              </w:rPr>
            </w:pPr>
            <w:r>
              <w:rPr>
                <w:rFonts w:ascii="Calibri" w:hAnsi="Calibri" w:eastAsia="宋体" w:cs="Times New Roman"/>
              </w:rPr>
              <w:t>文件存放地点</w:t>
            </w:r>
          </w:p>
        </w:tc>
        <w:tc>
          <w:tcPr>
            <w:tcW w:w="7512" w:type="dxa"/>
          </w:tcPr>
          <w:p>
            <w:pPr>
              <w:rPr>
                <w:rFonts w:ascii="Calibri" w:hAnsi="Calibri" w:eastAsia="宋体" w:cs="Times New Roman"/>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vMerge w:val="restart"/>
          </w:tcPr>
          <w:p>
            <w:pPr>
              <w:jc w:val="center"/>
              <w:rPr>
                <w:rFonts w:ascii="Calibri" w:hAnsi="Calibri" w:eastAsia="宋体" w:cs="Times New Roman"/>
              </w:rPr>
            </w:pPr>
          </w:p>
          <w:p>
            <w:pPr>
              <w:jc w:val="center"/>
              <w:rPr>
                <w:rFonts w:ascii="Calibri" w:hAnsi="Calibri" w:eastAsia="宋体" w:cs="Times New Roman"/>
              </w:rPr>
            </w:pPr>
            <w:r>
              <w:rPr>
                <w:rFonts w:hint="eastAsia" w:ascii="Calibri" w:hAnsi="Calibri" w:eastAsia="宋体" w:cs="Times New Roman"/>
              </w:rPr>
              <w:t>备查文件</w:t>
            </w:r>
          </w:p>
        </w:tc>
        <w:tc>
          <w:tcPr>
            <w:tcW w:w="7512" w:type="dxa"/>
          </w:tcPr>
          <w:p>
            <w:pPr>
              <w:rPr>
                <w:rFonts w:ascii="Calibri" w:hAnsi="Calibri" w:eastAsia="宋体" w:cs="Times New Roman"/>
              </w:rPr>
            </w:pPr>
            <w:r>
              <w:rPr>
                <w:rFonts w:hint="eastAsia" w:ascii="Calibri" w:hAnsi="Calibri" w:eastAsia="宋体" w:cs="Times New Roman"/>
              </w:rPr>
              <w:t>1．</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127" w:type="dxa"/>
            <w:vMerge w:val="continue"/>
          </w:tcPr>
          <w:p>
            <w:pPr>
              <w:rPr>
                <w:rFonts w:ascii="Calibri" w:hAnsi="Calibri" w:eastAsia="宋体" w:cs="Times New Roman"/>
              </w:rPr>
            </w:pPr>
          </w:p>
        </w:tc>
        <w:tc>
          <w:tcPr>
            <w:tcW w:w="7512" w:type="dxa"/>
          </w:tcPr>
          <w:p>
            <w:pPr>
              <w:rPr>
                <w:rFonts w:ascii="Calibri" w:hAnsi="Calibri" w:eastAsia="宋体" w:cs="Times New Roman"/>
              </w:rPr>
            </w:pPr>
            <w:r>
              <w:rPr>
                <w:rFonts w:hint="eastAsia" w:ascii="Calibri" w:hAnsi="Calibri" w:eastAsia="宋体" w:cs="Times New Roman"/>
              </w:rPr>
              <w:t>2．</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127" w:type="dxa"/>
            <w:vMerge w:val="continue"/>
          </w:tcPr>
          <w:p>
            <w:pPr>
              <w:rPr>
                <w:rFonts w:ascii="Calibri" w:hAnsi="Calibri" w:eastAsia="宋体" w:cs="Times New Roman"/>
              </w:rPr>
            </w:pPr>
          </w:p>
        </w:tc>
        <w:tc>
          <w:tcPr>
            <w:tcW w:w="7512" w:type="dxa"/>
          </w:tcPr>
          <w:p>
            <w:pPr>
              <w:rPr>
                <w:rFonts w:ascii="Calibri" w:hAnsi="Calibri" w:eastAsia="宋体" w:cs="Times New Roman"/>
              </w:rPr>
            </w:pPr>
            <w:r>
              <w:rPr>
                <w:rFonts w:ascii="Calibri" w:hAnsi="Calibri" w:eastAsia="宋体" w:cs="Times New Roman"/>
              </w:rPr>
              <w:t>自动添行…</w:t>
            </w:r>
          </w:p>
        </w:tc>
      </w:tr>
    </w:tbl>
    <w:p>
      <w:pPr>
        <w:rPr>
          <w:rFonts w:ascii="Calibri" w:hAnsi="Calibri" w:eastAsia="宋体" w:cs="Times New Roman"/>
        </w:rPr>
      </w:pPr>
    </w:p>
    <w:p>
      <w:pPr>
        <w:sectPr>
          <w:pgSz w:w="11907" w:h="16839"/>
          <w:pgMar w:top="1440" w:right="1797" w:bottom="1440" w:left="1797" w:header="851" w:footer="992" w:gutter="0"/>
          <w:pgNumType w:fmt="numberInDash"/>
          <w:cols w:space="425" w:num="1"/>
          <w:docGrid w:type="lines" w:linePitch="312" w:charSpace="0"/>
        </w:sectPr>
      </w:pPr>
    </w:p>
    <w:p>
      <w:pPr>
        <w:pStyle w:val="44"/>
        <w:rPr>
          <w:rFonts w:ascii="黑体" w:hAnsi="黑体" w:eastAsia="黑体"/>
          <w:b w:val="0"/>
          <w:sz w:val="36"/>
          <w:szCs w:val="36"/>
        </w:rPr>
      </w:pPr>
      <w:bookmarkStart w:id="1" w:name="_Toc505095878"/>
      <w:r>
        <w:rPr>
          <w:rFonts w:hint="eastAsia" w:ascii="黑体" w:hAnsi="黑体" w:eastAsia="黑体"/>
          <w:b w:val="0"/>
          <w:sz w:val="36"/>
          <w:szCs w:val="36"/>
        </w:rPr>
        <w:t>第二节 公司基本情况</w:t>
      </w:r>
      <w:bookmarkEnd w:id="1"/>
    </w:p>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一、基本信息</w:t>
      </w:r>
    </w:p>
    <w:tbl>
      <w:tblPr>
        <w:tblStyle w:val="46"/>
        <w:tblW w:w="964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552"/>
        <w:gridCol w:w="708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552" w:type="dxa"/>
          </w:tcPr>
          <w:p>
            <w:pPr>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证券</w:t>
            </w:r>
            <w:r>
              <w:rPr>
                <w:rFonts w:asciiTheme="minorEastAsia" w:hAnsiTheme="minorEastAsia"/>
                <w:color w:val="000000" w:themeColor="text1"/>
                <w:kern w:val="0"/>
                <w:sz w:val="22"/>
                <w14:textFill>
                  <w14:solidFill>
                    <w14:schemeClr w14:val="tx1"/>
                  </w14:solidFill>
                </w14:textFill>
              </w:rPr>
              <w:t>简称</w:t>
            </w:r>
          </w:p>
        </w:tc>
        <w:tc>
          <w:tcPr>
            <w:tcW w:w="7088" w:type="dxa"/>
          </w:tcPr>
          <w:p>
            <w:pPr>
              <w:rPr>
                <w:rFonts w:ascii="Times New Roman" w:hAnsi="Times New Roman"/>
                <w:color w:val="FF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7" w:hRule="atLeast"/>
        </w:trPr>
        <w:tc>
          <w:tcPr>
            <w:tcW w:w="2552" w:type="dxa"/>
          </w:tcPr>
          <w:p>
            <w:pPr>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证券</w:t>
            </w:r>
            <w:r>
              <w:rPr>
                <w:rFonts w:asciiTheme="minorEastAsia" w:hAnsiTheme="minorEastAsia"/>
                <w:color w:val="000000" w:themeColor="text1"/>
                <w:kern w:val="0"/>
                <w:sz w:val="22"/>
                <w14:textFill>
                  <w14:solidFill>
                    <w14:schemeClr w14:val="tx1"/>
                  </w14:solidFill>
                </w14:textFill>
              </w:rPr>
              <w:t>代码</w:t>
            </w:r>
          </w:p>
        </w:tc>
        <w:tc>
          <w:tcPr>
            <w:tcW w:w="7088" w:type="dxa"/>
          </w:tcPr>
          <w:p>
            <w:pPr>
              <w:rPr>
                <w:rFonts w:ascii="Times New Roman" w:hAnsi="Times New Roman"/>
                <w:color w:val="FF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trPr>
        <w:tc>
          <w:tcPr>
            <w:tcW w:w="2552" w:type="dxa"/>
          </w:tcPr>
          <w:p>
            <w:pPr>
              <w:jc w:val="left"/>
              <w:rPr>
                <w:rFonts w:asciiTheme="minorEastAsia" w:hAnsiTheme="minorEastAsia"/>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行业</w:t>
            </w:r>
          </w:p>
        </w:tc>
        <w:tc>
          <w:tcPr>
            <w:tcW w:w="7088" w:type="dxa"/>
            <w:tcBorders>
              <w:top w:val="single" w:color="DDDDDD" w:themeColor="accent1" w:sz="4" w:space="0"/>
            </w:tcBorders>
          </w:tcPr>
          <w:p>
            <w:pPr>
              <w:rPr>
                <w:rFonts w:ascii="Times New Roman" w:hAnsi="Times New Roman"/>
                <w:color w:val="FF0000"/>
                <w:kern w:val="0"/>
                <w:sz w:val="22"/>
              </w:rPr>
            </w:pPr>
            <w:r>
              <w:rPr>
                <w:rFonts w:hint="eastAsia" w:ascii="Times New Roman" w:hAnsi="Times New Roman"/>
                <w:color w:val="FF0000"/>
                <w:kern w:val="0"/>
                <w:sz w:val="22"/>
              </w:rPr>
              <w:t>（门类）-（大类）-（中类）-（小类）</w:t>
            </w:r>
          </w:p>
          <w:p>
            <w:pPr>
              <w:rPr>
                <w:rFonts w:ascii="Times New Roman" w:hAnsi="Times New Roman"/>
                <w:color w:val="FF0000"/>
                <w:kern w:val="0"/>
                <w:sz w:val="22"/>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制造业（C）-非金属矿物制品业（C30）-陶瓷制品制造（C307）-特种陶瓷制品制造（C3072））</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trPr>
        <w:tc>
          <w:tcPr>
            <w:tcW w:w="2552" w:type="dxa"/>
          </w:tcPr>
          <w:p>
            <w:pPr>
              <w:jc w:val="left"/>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法定代表人</w:t>
            </w:r>
          </w:p>
        </w:tc>
        <w:tc>
          <w:tcPr>
            <w:tcW w:w="7088" w:type="dxa"/>
            <w:tcBorders>
              <w:top w:val="single" w:color="DDDDDD" w:themeColor="accent1" w:sz="4" w:space="0"/>
            </w:tcBorders>
          </w:tcPr>
          <w:p>
            <w:pPr>
              <w:rPr>
                <w:rFonts w:ascii="Times New Roman" w:hAnsi="Times New Roman"/>
                <w:color w:val="FF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董事会秘书</w:t>
            </w:r>
          </w:p>
        </w:tc>
        <w:tc>
          <w:tcPr>
            <w:tcW w:w="7088" w:type="dxa"/>
          </w:tcPr>
          <w:p>
            <w:pPr>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FF0000"/>
                <w:kern w:val="0"/>
                <w:sz w:val="22"/>
              </w:rPr>
              <w:t>（请选择职务，填写姓名）</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heme="minorEastAsia" w:hAnsiTheme="minorEastAsia"/>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注册资本（元）</w:t>
            </w:r>
          </w:p>
        </w:tc>
        <w:tc>
          <w:tcPr>
            <w:tcW w:w="7088"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heme="minorEastAsia" w:hAnsiTheme="minorEastAsia"/>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注册地址</w:t>
            </w:r>
          </w:p>
        </w:tc>
        <w:tc>
          <w:tcPr>
            <w:tcW w:w="7088" w:type="dxa"/>
          </w:tcPr>
          <w:p>
            <w:pPr>
              <w:rPr>
                <w:rFonts w:ascii="Times New Roman" w:hAnsi="Times New Roman"/>
                <w:color w:val="FF0000"/>
                <w:kern w:val="0"/>
                <w:sz w:val="22"/>
              </w:rPr>
            </w:pPr>
            <w:r>
              <w:rPr>
                <w:rFonts w:hint="eastAsia" w:ascii="Times New Roman" w:hAnsi="Times New Roman"/>
                <w:color w:val="FF0000"/>
                <w:kern w:val="0"/>
                <w:sz w:val="22"/>
              </w:rPr>
              <w:t>（1级）省/市/自治区/其他（自行填写）（2级）市/地区/区/县/自治州/盟/其他（自行填写）（3级）街道/区/县/旗/其他（自行填写）（4级）</w:t>
            </w:r>
          </w:p>
          <w:p>
            <w:pPr>
              <w:tabs>
                <w:tab w:val="left" w:pos="1185"/>
              </w:tabs>
              <w:rPr>
                <w:rFonts w:asciiTheme="minorEastAsia" w:hAnsiTheme="minorEastAsia"/>
                <w:color w:val="000000" w:themeColor="text1"/>
                <w:kern w:val="0"/>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r>
              <w:rPr>
                <w:rFonts w:asciiTheme="minorEastAsia" w:hAnsiTheme="minorEastAsia"/>
                <w:color w:val="000000" w:themeColor="text1"/>
                <w:kern w:val="0"/>
                <w:sz w:val="22"/>
                <w14:textFill>
                  <w14:solidFill>
                    <w14:schemeClr w14:val="tx1"/>
                  </w14:solidFill>
                </w14:textFill>
              </w:rPr>
              <w:tab/>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heme="minorEastAsia" w:hAnsiTheme="minorEastAsia"/>
                <w:color w:val="000000" w:themeColor="text1"/>
                <w:kern w:val="0"/>
                <w:sz w:val="22"/>
                <w14:textFill>
                  <w14:solidFill>
                    <w14:schemeClr w14:val="tx1"/>
                  </w14:solidFill>
                </w14:textFill>
              </w:rPr>
            </w:pPr>
            <w:r>
              <w:rPr>
                <w:rFonts w:hint="eastAsia" w:ascii="Times New Roman" w:hAnsi="Times New Roman"/>
                <w:color w:val="000000" w:themeColor="text1"/>
                <w:kern w:val="0"/>
                <w:sz w:val="22"/>
                <w14:textFill>
                  <w14:solidFill>
                    <w14:schemeClr w14:val="tx1"/>
                  </w14:solidFill>
                </w14:textFill>
              </w:rPr>
              <w:t>办公地址</w:t>
            </w:r>
          </w:p>
        </w:tc>
        <w:tc>
          <w:tcPr>
            <w:tcW w:w="7088" w:type="dxa"/>
          </w:tcPr>
          <w:p>
            <w:pPr>
              <w:rPr>
                <w:rFonts w:asciiTheme="minorEastAsia" w:hAnsiTheme="minorEastAsia"/>
                <w:color w:val="FF0000"/>
                <w:kern w:val="0"/>
                <w:sz w:val="22"/>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imes New Roman" w:hAnsi="Times New Roman"/>
                <w:color w:val="000000" w:themeColor="text1"/>
                <w:kern w:val="0"/>
                <w:sz w:val="22"/>
                <w:szCs w:val="21"/>
                <w14:textFill>
                  <w14:solidFill>
                    <w14:schemeClr w14:val="tx1"/>
                  </w14:solidFill>
                </w14:textFill>
              </w:rPr>
            </w:pPr>
            <w:r>
              <w:rPr>
                <w:rFonts w:hint="eastAsia" w:ascii="Times New Roman" w:hAnsi="Times New Roman"/>
                <w:color w:val="000000" w:themeColor="text1"/>
                <w:kern w:val="0"/>
                <w:sz w:val="22"/>
                <w:szCs w:val="21"/>
                <w14:textFill>
                  <w14:solidFill>
                    <w14:schemeClr w14:val="tx1"/>
                  </w14:solidFill>
                </w14:textFill>
              </w:rPr>
              <w:t>保荐机构</w:t>
            </w:r>
          </w:p>
        </w:tc>
        <w:tc>
          <w:tcPr>
            <w:tcW w:w="7088" w:type="dxa"/>
          </w:tcPr>
          <w:p>
            <w:pPr>
              <w:rPr>
                <w:rFonts w:asciiTheme="minorEastAsia" w:hAnsiTheme="minorEastAsia"/>
                <w:color w:val="000000" w:themeColor="text1"/>
                <w:kern w:val="0"/>
                <w:sz w:val="22"/>
                <w14:textFill>
                  <w14:solidFill>
                    <w14:schemeClr w14:val="tx1"/>
                  </w14:solidFill>
                </w14:textFill>
              </w:rPr>
            </w:pPr>
            <w:r>
              <w:rPr>
                <w:rFonts w:asciiTheme="minorEastAsia" w:hAnsiTheme="minorEastAsia"/>
                <w:color w:val="FF0000"/>
                <w:kern w:val="0"/>
                <w:sz w:val="22"/>
              </w:rPr>
              <w:t>(</w:t>
            </w:r>
            <w:r>
              <w:rPr>
                <w:rFonts w:hint="eastAsia" w:asciiTheme="minorEastAsia" w:hAnsiTheme="minorEastAsia"/>
                <w:color w:val="FF0000"/>
                <w:kern w:val="0"/>
                <w:sz w:val="22"/>
              </w:rPr>
              <w:t>请</w:t>
            </w:r>
            <w:r>
              <w:rPr>
                <w:rFonts w:asciiTheme="minorEastAsia" w:hAnsiTheme="minorEastAsia"/>
                <w:color w:val="FF0000"/>
                <w:kern w:val="0"/>
                <w:sz w:val="22"/>
              </w:rPr>
              <w:t>填写</w:t>
            </w:r>
            <w:r>
              <w:rPr>
                <w:rFonts w:hint="eastAsia" w:asciiTheme="minorEastAsia" w:hAnsiTheme="minorEastAsia"/>
                <w:color w:val="FF0000"/>
                <w:kern w:val="0"/>
                <w:sz w:val="22"/>
              </w:rPr>
              <w:t>季度报告披露日</w:t>
            </w:r>
            <w:r>
              <w:rPr>
                <w:rFonts w:asciiTheme="minorEastAsia" w:hAnsiTheme="minorEastAsia"/>
                <w:color w:val="FF0000"/>
                <w:kern w:val="0"/>
                <w:sz w:val="22"/>
              </w:rPr>
              <w:t>保荐机构简称)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imes New Roman" w:hAnsi="Times New Roman"/>
                <w:color w:val="000000" w:themeColor="text1"/>
                <w:kern w:val="0"/>
                <w:sz w:val="22"/>
                <w:szCs w:val="21"/>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会计师事务所</w:t>
            </w:r>
          </w:p>
        </w:tc>
        <w:tc>
          <w:tcPr>
            <w:tcW w:w="7088" w:type="dxa"/>
          </w:tcPr>
          <w:p>
            <w:pPr>
              <w:rPr>
                <w:rFonts w:asciiTheme="minorEastAsia" w:hAnsiTheme="minorEastAsia"/>
                <w:color w:val="FF0000"/>
                <w:kern w:val="0"/>
                <w:sz w:val="22"/>
              </w:rPr>
            </w:pPr>
            <w:r>
              <w:rPr>
                <w:rFonts w:hint="eastAsia" w:ascii="Times New Roman" w:hAnsi="Times New Roman"/>
                <w:color w:val="FF0000"/>
                <w:kern w:val="0"/>
                <w:sz w:val="22"/>
              </w:rPr>
              <w:t>（如不适用请删除此行）</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9" w:hRule="atLeast"/>
        </w:trPr>
        <w:tc>
          <w:tcPr>
            <w:tcW w:w="2552" w:type="dxa"/>
          </w:tcPr>
          <w:p>
            <w:pPr>
              <w:jc w:val="left"/>
              <w:rPr>
                <w:rFonts w:ascii="Times New Roman" w:hAnsi="Times New Roman"/>
                <w:color w:val="000000" w:themeColor="text1"/>
                <w:kern w:val="0"/>
                <w:sz w:val="22"/>
                <w:szCs w:val="21"/>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签字注册会计师</w:t>
            </w:r>
            <w:r>
              <w:rPr>
                <w:rFonts w:asciiTheme="minorEastAsia" w:hAnsiTheme="minorEastAsia"/>
                <w:color w:val="000000" w:themeColor="text1"/>
                <w:kern w:val="0"/>
                <w:sz w:val="22"/>
                <w14:textFill>
                  <w14:solidFill>
                    <w14:schemeClr w14:val="tx1"/>
                  </w14:solidFill>
                </w14:textFill>
              </w:rPr>
              <w:t>姓名</w:t>
            </w:r>
          </w:p>
        </w:tc>
        <w:tc>
          <w:tcPr>
            <w:tcW w:w="7088" w:type="dxa"/>
          </w:tcPr>
          <w:p>
            <w:pPr>
              <w:rPr>
                <w:rFonts w:asciiTheme="minorEastAsia" w:hAnsiTheme="minorEastAsia"/>
                <w:color w:val="FF0000"/>
                <w:kern w:val="0"/>
                <w:sz w:val="22"/>
              </w:rPr>
            </w:pPr>
            <w:r>
              <w:rPr>
                <w:rFonts w:hint="eastAsia" w:ascii="Times New Roman" w:hAnsi="Times New Roman"/>
                <w:color w:val="FF0000"/>
                <w:kern w:val="0"/>
                <w:sz w:val="22"/>
              </w:rPr>
              <w:t>（如不适用请删除此行）</w:t>
            </w:r>
          </w:p>
        </w:tc>
      </w:tr>
    </w:tbl>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二、主要</w:t>
      </w:r>
      <w:r>
        <w:rPr>
          <w:rFonts w:ascii="微软雅黑" w:hAnsi="微软雅黑" w:eastAsia="微软雅黑"/>
          <w:b/>
          <w:color w:val="000000" w:themeColor="text1"/>
          <w:sz w:val="22"/>
          <w:szCs w:val="44"/>
          <w14:textFill>
            <w14:solidFill>
              <w14:schemeClr w14:val="tx1"/>
            </w14:solidFill>
          </w14:textFill>
        </w:rPr>
        <w:t>财务数据</w:t>
      </w:r>
    </w:p>
    <w:p>
      <w:pPr>
        <w:pStyle w:val="19"/>
        <w:kinsoku w:val="0"/>
        <w:overflowPunct w:val="0"/>
        <w:spacing w:before="18"/>
        <w:ind w:right="16"/>
        <w:jc w:val="right"/>
      </w:pPr>
      <w:r>
        <w:rPr>
          <w:rFonts w:hint="eastAsia"/>
        </w:rPr>
        <w:t>单位：元</w:t>
      </w:r>
    </w:p>
    <w:tbl>
      <w:tblPr>
        <w:tblStyle w:val="46"/>
        <w:tblW w:w="9782" w:type="dxa"/>
        <w:tblInd w:w="-714"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296"/>
        <w:gridCol w:w="2382"/>
        <w:gridCol w:w="198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7" w:hRule="atLeast"/>
        </w:trPr>
        <w:tc>
          <w:tcPr>
            <w:tcW w:w="3119" w:type="dxa"/>
            <w:shd w:val="pct10" w:color="auto" w:fill="auto"/>
            <w:vAlign w:val="center"/>
          </w:tcPr>
          <w:p>
            <w:pPr>
              <w:jc w:val="center"/>
              <w:rPr>
                <w:rFonts w:asciiTheme="minorEastAsia" w:hAnsiTheme="minorEastAsia"/>
                <w:b/>
                <w:sz w:val="22"/>
              </w:rPr>
            </w:pPr>
            <w:r>
              <w:rPr>
                <w:b/>
                <w:sz w:val="22"/>
              </w:rPr>
              <w:t>项目</w:t>
            </w:r>
          </w:p>
        </w:tc>
        <w:tc>
          <w:tcPr>
            <w:tcW w:w="2296"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报告期末</w:t>
            </w:r>
          </w:p>
          <w:p>
            <w:pP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2022</w:t>
            </w:r>
            <w:r>
              <w:rPr>
                <w:rFonts w:hint="eastAsia" w:asciiTheme="minorEastAsia" w:hAnsiTheme="minorEastAsia"/>
                <w:b/>
                <w:sz w:val="22"/>
              </w:rPr>
              <w:t>年</w:t>
            </w:r>
            <w:r>
              <w:rPr>
                <w:rFonts w:asciiTheme="minorEastAsia" w:hAnsiTheme="minorEastAsia"/>
                <w:b/>
                <w:sz w:val="22"/>
              </w:rPr>
              <w:t>9</w:t>
            </w:r>
            <w:r>
              <w:rPr>
                <w:rFonts w:hint="eastAsia" w:asciiTheme="minorEastAsia" w:hAnsiTheme="minorEastAsia"/>
                <w:b/>
                <w:sz w:val="22"/>
              </w:rPr>
              <w:t>月</w:t>
            </w:r>
            <w:r>
              <w:rPr>
                <w:rFonts w:asciiTheme="minorEastAsia" w:hAnsiTheme="minorEastAsia"/>
                <w:b/>
                <w:sz w:val="22"/>
              </w:rPr>
              <w:t>30</w:t>
            </w:r>
            <w:r>
              <w:rPr>
                <w:rFonts w:hint="eastAsia" w:asciiTheme="minorEastAsia" w:hAnsiTheme="minorEastAsia"/>
                <w:b/>
                <w:sz w:val="22"/>
              </w:rPr>
              <w:t>日）</w:t>
            </w:r>
          </w:p>
        </w:tc>
        <w:tc>
          <w:tcPr>
            <w:tcW w:w="2382"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上年期末</w:t>
            </w:r>
          </w:p>
          <w:p>
            <w:pP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2021</w:t>
            </w:r>
            <w:r>
              <w:rPr>
                <w:rFonts w:hint="eastAsia" w:asciiTheme="minorEastAsia" w:hAnsiTheme="minorEastAsia"/>
                <w:b/>
                <w:sz w:val="22"/>
              </w:rPr>
              <w:t>年</w:t>
            </w:r>
            <w:r>
              <w:rPr>
                <w:rFonts w:asciiTheme="minorEastAsia" w:hAnsiTheme="minorEastAsia"/>
                <w:b/>
                <w:sz w:val="22"/>
              </w:rPr>
              <w:t>12</w:t>
            </w:r>
            <w:r>
              <w:rPr>
                <w:rFonts w:hint="eastAsia" w:asciiTheme="minorEastAsia" w:hAnsiTheme="minorEastAsia"/>
                <w:b/>
                <w:sz w:val="22"/>
              </w:rPr>
              <w:t>月</w:t>
            </w:r>
            <w:r>
              <w:rPr>
                <w:rFonts w:asciiTheme="minorEastAsia" w:hAnsiTheme="minorEastAsia"/>
                <w:b/>
                <w:sz w:val="22"/>
              </w:rPr>
              <w:t>31</w:t>
            </w:r>
            <w:r>
              <w:rPr>
                <w:rFonts w:hint="eastAsia" w:asciiTheme="minorEastAsia" w:hAnsiTheme="minorEastAsia"/>
                <w:b/>
                <w:sz w:val="22"/>
              </w:rPr>
              <w:t>日）</w:t>
            </w:r>
          </w:p>
        </w:tc>
        <w:tc>
          <w:tcPr>
            <w:tcW w:w="1985"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报告期末比上年期末增减比例</w:t>
            </w:r>
            <w:r>
              <w:rPr>
                <w:rFonts w:asciiTheme="minorEastAsia" w:hAnsiTheme="minor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1" w:hRule="atLeast"/>
        </w:trPr>
        <w:tc>
          <w:tcPr>
            <w:tcW w:w="3119" w:type="dxa"/>
          </w:tcPr>
          <w:p>
            <w:pPr>
              <w:rPr>
                <w:rFonts w:asciiTheme="minorEastAsia" w:hAnsiTheme="minorEastAsia"/>
                <w:sz w:val="22"/>
              </w:rPr>
            </w:pPr>
            <w:r>
              <w:rPr>
                <w:rFonts w:hint="eastAsia" w:asciiTheme="minorEastAsia" w:hAnsiTheme="minorEastAsia"/>
                <w:color w:val="000000" w:themeColor="text1"/>
                <w:kern w:val="0"/>
                <w:sz w:val="22"/>
                <w14:textFill>
                  <w14:solidFill>
                    <w14:schemeClr w14:val="tx1"/>
                  </w14:solidFill>
                </w14:textFill>
              </w:rPr>
              <w:t>资产总计</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rFonts w:asciiTheme="minorEastAsia" w:hAnsiTheme="minorEastAsia"/>
                <w:sz w:val="22"/>
              </w:rPr>
            </w:pPr>
            <w:r>
              <w:rPr>
                <w:rFonts w:hint="eastAsia" w:asciiTheme="minorEastAsia" w:hAnsiTheme="minorEastAsia"/>
                <w:sz w:val="22"/>
              </w:rPr>
              <w:t>归属于上市公司股东的净资产</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rFonts w:asciiTheme="minorEastAsia" w:hAnsiTheme="minorEastAsia"/>
                <w:sz w:val="22"/>
              </w:rPr>
            </w:pPr>
            <w:r>
              <w:rPr>
                <w:rFonts w:hint="eastAsia" w:asciiTheme="minorEastAsia" w:hAnsiTheme="minorEastAsia"/>
                <w:sz w:val="22"/>
              </w:rPr>
              <w:t>资产负债率</w:t>
            </w: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sz w:val="22"/>
              </w:rPr>
              <w:t>（母公司）</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r>
              <w:rPr>
                <w:rFonts w:asciiTheme="minorEastAsia" w:hAnsiTheme="minorEastAsia"/>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trPr>
        <w:tc>
          <w:tcPr>
            <w:tcW w:w="3119" w:type="dxa"/>
          </w:tcPr>
          <w:p>
            <w:pPr>
              <w:rPr>
                <w:rFonts w:asciiTheme="minorEastAsia" w:hAnsiTheme="minorEastAsia"/>
                <w:sz w:val="22"/>
              </w:rPr>
            </w:pPr>
            <w:r>
              <w:rPr>
                <w:rFonts w:hint="eastAsia" w:asciiTheme="minorEastAsia" w:hAnsiTheme="minorEastAsia"/>
                <w:sz w:val="22"/>
              </w:rPr>
              <w:t>资产负债率</w:t>
            </w: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sz w:val="22"/>
              </w:rPr>
              <w:t>（合并）</w:t>
            </w:r>
          </w:p>
        </w:tc>
        <w:tc>
          <w:tcPr>
            <w:tcW w:w="2296" w:type="dxa"/>
          </w:tcPr>
          <w:p>
            <w:pPr>
              <w:rPr>
                <w:rFonts w:asciiTheme="minorEastAsia" w:hAnsiTheme="minorEastAsia"/>
                <w:sz w:val="22"/>
              </w:rPr>
            </w:pPr>
          </w:p>
        </w:tc>
        <w:tc>
          <w:tcPr>
            <w:tcW w:w="2382" w:type="dxa"/>
          </w:tcPr>
          <w:p>
            <w:pPr>
              <w:rPr>
                <w:rFonts w:asciiTheme="minorEastAsia" w:hAnsiTheme="minorEastAsia"/>
                <w:sz w:val="22"/>
              </w:rPr>
            </w:pPr>
          </w:p>
        </w:tc>
        <w:tc>
          <w:tcPr>
            <w:tcW w:w="1985" w:type="dxa"/>
          </w:tcPr>
          <w:p>
            <w:pPr>
              <w:rPr>
                <w:rFonts w:asciiTheme="minorEastAsia" w:hAnsiTheme="minorEastAsia"/>
                <w:sz w:val="22"/>
              </w:rPr>
            </w:pPr>
            <w:r>
              <w:rPr>
                <w:rFonts w:asciiTheme="minorEastAsia" w:hAnsiTheme="minorEastAsia"/>
                <w:sz w:val="22"/>
              </w:rPr>
              <w:t>-</w:t>
            </w:r>
          </w:p>
        </w:tc>
      </w:tr>
    </w:tbl>
    <w:p>
      <w:pPr>
        <w:rPr>
          <w:rFonts w:asciiTheme="minorEastAsia" w:hAnsiTheme="minorEastAsia"/>
        </w:rPr>
      </w:pPr>
    </w:p>
    <w:tbl>
      <w:tblPr>
        <w:tblStyle w:val="46"/>
        <w:tblW w:w="980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126"/>
        <w:gridCol w:w="2410"/>
        <w:gridCol w:w="214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shd w:val="pct10" w:color="auto" w:fill="auto"/>
            <w:vAlign w:val="center"/>
          </w:tcPr>
          <w:p>
            <w:pPr>
              <w:jc w:val="center"/>
              <w:rPr>
                <w:rFonts w:asciiTheme="minorEastAsia" w:hAnsiTheme="minorEastAsia"/>
                <w:b/>
                <w:sz w:val="22"/>
              </w:rPr>
            </w:pPr>
            <w:r>
              <w:rPr>
                <w:b/>
                <w:sz w:val="22"/>
              </w:rPr>
              <w:t>项目</w:t>
            </w:r>
          </w:p>
        </w:tc>
        <w:tc>
          <w:tcPr>
            <w:tcW w:w="2126"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年初至报告期末</w:t>
            </w:r>
          </w:p>
          <w:p>
            <w:pPr>
              <w:jc w:val="cente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2022</w:t>
            </w:r>
            <w:r>
              <w:rPr>
                <w:rFonts w:hint="eastAsia" w:asciiTheme="minorEastAsia" w:hAnsiTheme="minorEastAsia"/>
                <w:b/>
                <w:sz w:val="22"/>
              </w:rPr>
              <w:t>年</w:t>
            </w:r>
            <w:r>
              <w:rPr>
                <w:rFonts w:asciiTheme="minorEastAsia" w:hAnsiTheme="minorEastAsia"/>
                <w:b/>
                <w:sz w:val="22"/>
              </w:rPr>
              <w:t>1-9</w:t>
            </w:r>
            <w:r>
              <w:rPr>
                <w:rFonts w:hint="eastAsia" w:asciiTheme="minorEastAsia" w:hAnsiTheme="minorEastAsia"/>
                <w:b/>
                <w:sz w:val="22"/>
              </w:rPr>
              <w:t>月）</w:t>
            </w:r>
          </w:p>
        </w:tc>
        <w:tc>
          <w:tcPr>
            <w:tcW w:w="2410" w:type="dxa"/>
            <w:shd w:val="pct10" w:color="auto" w:fill="auto"/>
            <w:vAlign w:val="center"/>
          </w:tcPr>
          <w:p>
            <w:pPr>
              <w:ind w:firstLine="552" w:firstLineChars="250"/>
              <w:rPr>
                <w:rFonts w:asciiTheme="minorEastAsia" w:hAnsiTheme="minorEastAsia"/>
                <w:b/>
                <w:sz w:val="22"/>
              </w:rPr>
            </w:pPr>
            <w:r>
              <w:rPr>
                <w:rFonts w:hint="eastAsia" w:asciiTheme="minorEastAsia" w:hAnsiTheme="minorEastAsia"/>
                <w:b/>
                <w:sz w:val="22"/>
              </w:rPr>
              <w:t>上年同期</w:t>
            </w:r>
          </w:p>
          <w:p>
            <w:pPr>
              <w:jc w:val="center"/>
              <w:rPr>
                <w:rFonts w:asciiTheme="minorEastAsia" w:hAnsiTheme="minorEastAsia"/>
                <w:b/>
                <w:sz w:val="22"/>
              </w:rPr>
            </w:pPr>
            <w:r>
              <w:rPr>
                <w:rFonts w:hint="eastAsia" w:asciiTheme="minorEastAsia" w:hAnsiTheme="minorEastAsia"/>
                <w:b/>
                <w:sz w:val="22"/>
              </w:rPr>
              <w:t>（</w:t>
            </w:r>
            <w:r>
              <w:rPr>
                <w:rFonts w:asciiTheme="minorEastAsia" w:hAnsiTheme="minorEastAsia"/>
                <w:b/>
                <w:sz w:val="22"/>
              </w:rPr>
              <w:t>2021</w:t>
            </w:r>
            <w:r>
              <w:rPr>
                <w:rFonts w:hint="eastAsia" w:asciiTheme="minorEastAsia" w:hAnsiTheme="minorEastAsia"/>
                <w:b/>
                <w:sz w:val="22"/>
              </w:rPr>
              <w:t>年</w:t>
            </w:r>
            <w:r>
              <w:rPr>
                <w:rFonts w:asciiTheme="minorEastAsia" w:hAnsiTheme="minorEastAsia"/>
                <w:b/>
                <w:sz w:val="22"/>
              </w:rPr>
              <w:t>1-9</w:t>
            </w:r>
            <w:r>
              <w:rPr>
                <w:rFonts w:hint="eastAsia" w:asciiTheme="minorEastAsia" w:hAnsiTheme="minorEastAsia"/>
                <w:b/>
                <w:sz w:val="22"/>
              </w:rPr>
              <w:t>月）</w:t>
            </w:r>
          </w:p>
        </w:tc>
        <w:tc>
          <w:tcPr>
            <w:tcW w:w="2146"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年初至报告期末比上年同期增减比例</w:t>
            </w:r>
            <w:r>
              <w:rPr>
                <w:rFonts w:asciiTheme="minorEastAsia" w:hAnsiTheme="minor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营业收入</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归属于上市公司股东的净利润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归属于上市公司股东的扣除非经常性损益后的净利润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经营活动产生的现金流量净额</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基本每股收益</w:t>
            </w:r>
            <w:r>
              <w:rPr>
                <w:rFonts w:hint="eastAsia" w:ascii="Times New Roman" w:hAnsi="Times New Roman" w:cs="Times New Roman"/>
                <w:sz w:val="22"/>
              </w:rPr>
              <w:t>（元</w:t>
            </w:r>
            <w:r>
              <w:rPr>
                <w:rFonts w:ascii="Times New Roman" w:hAnsi="Times New Roman" w:cs="Times New Roman"/>
                <w:sz w:val="22"/>
              </w:rPr>
              <w:t>/</w:t>
            </w:r>
            <w:r>
              <w:rPr>
                <w:rFonts w:hint="eastAsia" w:ascii="Times New Roman" w:hAnsi="Times New Roman" w:cs="Times New Roman"/>
                <w:sz w:val="22"/>
              </w:rPr>
              <w:t>股）</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上市公司股东的净利润计算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rFonts w:ascii="Times New Roman" w:hAnsi="Times New Roman" w:cs="Times New Roman"/>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上市公司股东的扣</w:t>
            </w:r>
            <w:r>
              <w:rPr>
                <w:rFonts w:hint="eastAsia" w:asciiTheme="minorEastAsia" w:hAnsiTheme="minorEastAsia"/>
                <w:color w:val="000000" w:themeColor="text1"/>
                <w:kern w:val="0"/>
                <w:sz w:val="22"/>
                <w14:textFill>
                  <w14:solidFill>
                    <w14:schemeClr w14:val="tx1"/>
                  </w14:solidFill>
                </w14:textFill>
              </w:rPr>
              <w:t>除非经常性</w:t>
            </w:r>
            <w:r>
              <w:rPr>
                <w:rFonts w:asciiTheme="minorEastAsia" w:hAnsiTheme="minorEastAsia"/>
                <w:color w:val="000000" w:themeColor="text1"/>
                <w:kern w:val="0"/>
                <w:sz w:val="22"/>
                <w14:textFill>
                  <w14:solidFill>
                    <w14:schemeClr w14:val="tx1"/>
                  </w14:solidFill>
                </w14:textFill>
              </w:rPr>
              <w:t>损益后的净利润计算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bl>
    <w:p>
      <w:pPr>
        <w:rPr>
          <w:b/>
        </w:rPr>
      </w:pPr>
    </w:p>
    <w:tbl>
      <w:tblPr>
        <w:tblStyle w:val="46"/>
        <w:tblW w:w="9801"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119"/>
        <w:gridCol w:w="2126"/>
        <w:gridCol w:w="2410"/>
        <w:gridCol w:w="214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2" w:hRule="atLeast"/>
          <w:jc w:val="center"/>
        </w:trPr>
        <w:tc>
          <w:tcPr>
            <w:tcW w:w="3119" w:type="dxa"/>
            <w:shd w:val="pct10" w:color="auto" w:fill="auto"/>
            <w:vAlign w:val="center"/>
          </w:tcPr>
          <w:p>
            <w:pPr>
              <w:jc w:val="center"/>
              <w:rPr>
                <w:b/>
                <w:sz w:val="22"/>
              </w:rPr>
            </w:pPr>
            <w:r>
              <w:rPr>
                <w:b/>
                <w:sz w:val="22"/>
              </w:rPr>
              <w:t>项目</w:t>
            </w:r>
          </w:p>
        </w:tc>
        <w:tc>
          <w:tcPr>
            <w:tcW w:w="2126" w:type="dxa"/>
            <w:shd w:val="pct10" w:color="auto" w:fill="auto"/>
            <w:vAlign w:val="center"/>
          </w:tcPr>
          <w:p>
            <w:pPr>
              <w:jc w:val="center"/>
              <w:rPr>
                <w:b/>
                <w:sz w:val="22"/>
              </w:rPr>
            </w:pPr>
            <w:r>
              <w:rPr>
                <w:rFonts w:hint="eastAsia"/>
                <w:b/>
                <w:sz w:val="22"/>
              </w:rPr>
              <w:t>本报告期</w:t>
            </w:r>
          </w:p>
          <w:p>
            <w:pPr>
              <w:jc w:val="center"/>
              <w:rPr>
                <w:b/>
                <w:sz w:val="22"/>
              </w:rPr>
            </w:pPr>
            <w:r>
              <w:rPr>
                <w:rFonts w:hint="eastAsia"/>
                <w:b/>
                <w:sz w:val="22"/>
              </w:rPr>
              <w:t>（202</w:t>
            </w:r>
            <w:r>
              <w:rPr>
                <w:b/>
                <w:sz w:val="22"/>
              </w:rPr>
              <w:t>2</w:t>
            </w:r>
            <w:r>
              <w:rPr>
                <w:rFonts w:hint="eastAsia"/>
                <w:b/>
                <w:sz w:val="22"/>
              </w:rPr>
              <w:t>年</w:t>
            </w:r>
            <w:r>
              <w:rPr>
                <w:b/>
                <w:sz w:val="22"/>
              </w:rPr>
              <w:t>7-9</w:t>
            </w:r>
            <w:r>
              <w:rPr>
                <w:rFonts w:hint="eastAsia"/>
                <w:b/>
                <w:sz w:val="22"/>
              </w:rPr>
              <w:t>月）</w:t>
            </w:r>
          </w:p>
        </w:tc>
        <w:tc>
          <w:tcPr>
            <w:tcW w:w="2410" w:type="dxa"/>
            <w:shd w:val="pct10" w:color="auto" w:fill="auto"/>
            <w:vAlign w:val="center"/>
          </w:tcPr>
          <w:p>
            <w:pPr>
              <w:ind w:firstLine="552" w:firstLineChars="250"/>
              <w:rPr>
                <w:b/>
                <w:sz w:val="22"/>
              </w:rPr>
            </w:pPr>
            <w:r>
              <w:rPr>
                <w:rFonts w:hint="eastAsia"/>
                <w:b/>
                <w:sz w:val="22"/>
              </w:rPr>
              <w:t>上年同期</w:t>
            </w:r>
          </w:p>
          <w:p>
            <w:pPr>
              <w:jc w:val="center"/>
              <w:rPr>
                <w:b/>
                <w:sz w:val="22"/>
              </w:rPr>
            </w:pPr>
            <w:r>
              <w:rPr>
                <w:rFonts w:hint="eastAsia"/>
                <w:b/>
                <w:sz w:val="22"/>
              </w:rPr>
              <w:t>（</w:t>
            </w:r>
            <w:r>
              <w:rPr>
                <w:b/>
                <w:sz w:val="22"/>
              </w:rPr>
              <w:t>2021</w:t>
            </w:r>
            <w:r>
              <w:rPr>
                <w:rFonts w:hint="eastAsia"/>
                <w:b/>
                <w:sz w:val="22"/>
              </w:rPr>
              <w:t>年</w:t>
            </w:r>
            <w:r>
              <w:rPr>
                <w:b/>
                <w:sz w:val="22"/>
              </w:rPr>
              <w:t>7-9</w:t>
            </w:r>
            <w:r>
              <w:rPr>
                <w:rFonts w:hint="eastAsia"/>
                <w:b/>
                <w:sz w:val="22"/>
              </w:rPr>
              <w:t>月）</w:t>
            </w:r>
          </w:p>
        </w:tc>
        <w:tc>
          <w:tcPr>
            <w:tcW w:w="2146" w:type="dxa"/>
            <w:shd w:val="pct10" w:color="auto" w:fill="auto"/>
            <w:vAlign w:val="center"/>
          </w:tcPr>
          <w:p>
            <w:pPr>
              <w:jc w:val="center"/>
              <w:rPr>
                <w:b/>
                <w:sz w:val="22"/>
              </w:rPr>
            </w:pPr>
            <w:r>
              <w:rPr>
                <w:rFonts w:hint="eastAsia"/>
                <w:b/>
                <w:sz w:val="22"/>
              </w:rPr>
              <w:t>本报告期</w:t>
            </w:r>
            <w:r>
              <w:rPr>
                <w:b/>
                <w:sz w:val="22"/>
              </w:rPr>
              <w:t>比</w:t>
            </w:r>
            <w:r>
              <w:rPr>
                <w:rFonts w:hint="eastAsia"/>
                <w:b/>
                <w:sz w:val="22"/>
              </w:rPr>
              <w:t>上年同期增减比例%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75" w:hRule="atLeast"/>
          <w:jc w:val="center"/>
        </w:trPr>
        <w:tc>
          <w:tcPr>
            <w:tcW w:w="3119" w:type="dxa"/>
          </w:tcPr>
          <w:p>
            <w:pPr>
              <w:rPr>
                <w:sz w:val="22"/>
              </w:rPr>
            </w:pPr>
            <w:r>
              <w:rPr>
                <w:rFonts w:hint="eastAsia"/>
                <w:sz w:val="22"/>
              </w:rPr>
              <w:t>营业收入</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175" w:hRule="atLeast"/>
          <w:jc w:val="center"/>
        </w:trPr>
        <w:tc>
          <w:tcPr>
            <w:tcW w:w="3119" w:type="dxa"/>
          </w:tcPr>
          <w:p>
            <w:pPr>
              <w:rPr>
                <w:sz w:val="22"/>
              </w:rPr>
            </w:pPr>
            <w:r>
              <w:rPr>
                <w:rFonts w:hint="eastAsia"/>
                <w:sz w:val="22"/>
              </w:rPr>
              <w:t>归属于上市公司股东的净利润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22" w:hRule="atLeast"/>
          <w:jc w:val="center"/>
        </w:trPr>
        <w:tc>
          <w:tcPr>
            <w:tcW w:w="3119" w:type="dxa"/>
          </w:tcPr>
          <w:p>
            <w:pPr>
              <w:rPr>
                <w:sz w:val="22"/>
              </w:rPr>
            </w:pPr>
            <w:r>
              <w:rPr>
                <w:rFonts w:hint="eastAsia"/>
                <w:sz w:val="22"/>
              </w:rPr>
              <w:t>归属于上市公司股东的扣除非经常性损益后的净利润</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经营活动产生的现金流量净额</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3119" w:type="dxa"/>
          </w:tcPr>
          <w:p>
            <w:pPr>
              <w:rPr>
                <w:sz w:val="22"/>
              </w:rPr>
            </w:pPr>
            <w:r>
              <w:rPr>
                <w:rFonts w:hint="eastAsia"/>
                <w:sz w:val="22"/>
              </w:rPr>
              <w:t>基本每股收益</w:t>
            </w:r>
            <w:r>
              <w:rPr>
                <w:rFonts w:hint="eastAsia" w:ascii="Times New Roman" w:hAnsi="Times New Roman" w:cs="Times New Roman"/>
                <w:sz w:val="22"/>
              </w:rPr>
              <w:t>（元</w:t>
            </w:r>
            <w:r>
              <w:rPr>
                <w:rFonts w:ascii="Times New Roman" w:hAnsi="Times New Roman" w:cs="Times New Roman"/>
                <w:sz w:val="22"/>
              </w:rPr>
              <w:t>/</w:t>
            </w:r>
            <w:r>
              <w:rPr>
                <w:rFonts w:hint="eastAsia" w:ascii="Times New Roman" w:hAnsi="Times New Roman" w:cs="Times New Roman"/>
                <w:sz w:val="22"/>
              </w:rPr>
              <w:t>股）</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22" w:hRule="atLeast"/>
          <w:jc w:val="center"/>
        </w:trPr>
        <w:tc>
          <w:tcPr>
            <w:tcW w:w="3119" w:type="dxa"/>
          </w:tcPr>
          <w:p>
            <w:pPr>
              <w:rPr>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上市公司股东的净利润计算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222" w:hRule="atLeast"/>
          <w:jc w:val="center"/>
        </w:trPr>
        <w:tc>
          <w:tcPr>
            <w:tcW w:w="3119" w:type="dxa"/>
          </w:tcPr>
          <w:p>
            <w:pPr>
              <w:rPr>
                <w:rFonts w:ascii="Times New Roman" w:hAnsi="Times New Roman" w:cs="Times New Roman"/>
                <w:sz w:val="22"/>
              </w:rPr>
            </w:pPr>
            <w:r>
              <w:rPr>
                <w:rFonts w:hint="eastAsia" w:asciiTheme="minorEastAsia" w:hAnsiTheme="minorEastAsia"/>
                <w:color w:val="000000" w:themeColor="text1"/>
                <w:kern w:val="0"/>
                <w:sz w:val="22"/>
                <w14:textFill>
                  <w14:solidFill>
                    <w14:schemeClr w14:val="tx1"/>
                  </w14:solidFill>
                </w14:textFill>
              </w:rPr>
              <w:t>加权平均净资产收益率%（依据归属于</w:t>
            </w:r>
            <w:r>
              <w:rPr>
                <w:rFonts w:asciiTheme="minorEastAsia" w:hAnsiTheme="minorEastAsia"/>
                <w:color w:val="000000" w:themeColor="text1"/>
                <w:kern w:val="0"/>
                <w:sz w:val="22"/>
                <w14:textFill>
                  <w14:solidFill>
                    <w14:schemeClr w14:val="tx1"/>
                  </w14:solidFill>
                </w14:textFill>
              </w:rPr>
              <w:t>上市公司股东的扣</w:t>
            </w:r>
            <w:r>
              <w:rPr>
                <w:rFonts w:hint="eastAsia" w:asciiTheme="minorEastAsia" w:hAnsiTheme="minorEastAsia"/>
                <w:color w:val="000000" w:themeColor="text1"/>
                <w:kern w:val="0"/>
                <w:sz w:val="22"/>
                <w14:textFill>
                  <w14:solidFill>
                    <w14:schemeClr w14:val="tx1"/>
                  </w14:solidFill>
                </w14:textFill>
              </w:rPr>
              <w:t>除非经常性</w:t>
            </w:r>
            <w:r>
              <w:rPr>
                <w:rFonts w:asciiTheme="minorEastAsia" w:hAnsiTheme="minorEastAsia"/>
                <w:color w:val="000000" w:themeColor="text1"/>
                <w:kern w:val="0"/>
                <w:sz w:val="22"/>
                <w14:textFill>
                  <w14:solidFill>
                    <w14:schemeClr w14:val="tx1"/>
                  </w14:solidFill>
                </w14:textFill>
              </w:rPr>
              <w:t>损益后的净利润计算</w:t>
            </w:r>
            <w:r>
              <w:rPr>
                <w:rFonts w:hint="eastAsia" w:asciiTheme="minorEastAsia" w:hAnsiTheme="minorEastAsia"/>
                <w:color w:val="000000" w:themeColor="text1"/>
                <w:kern w:val="0"/>
                <w:sz w:val="22"/>
                <w14:textFill>
                  <w14:solidFill>
                    <w14:schemeClr w14:val="tx1"/>
                  </w14:solidFill>
                </w14:textFill>
              </w:rPr>
              <w:t>）</w:t>
            </w:r>
          </w:p>
        </w:tc>
        <w:tc>
          <w:tcPr>
            <w:tcW w:w="2126" w:type="dxa"/>
          </w:tcPr>
          <w:p>
            <w:pPr>
              <w:rPr>
                <w:sz w:val="22"/>
              </w:rPr>
            </w:pPr>
          </w:p>
        </w:tc>
        <w:tc>
          <w:tcPr>
            <w:tcW w:w="2410" w:type="dxa"/>
          </w:tcPr>
          <w:p>
            <w:pPr>
              <w:rPr>
                <w:sz w:val="22"/>
              </w:rPr>
            </w:pPr>
          </w:p>
        </w:tc>
        <w:tc>
          <w:tcPr>
            <w:tcW w:w="2146" w:type="dxa"/>
          </w:tcPr>
          <w:p>
            <w:pPr>
              <w:rPr>
                <w:sz w:val="22"/>
              </w:rPr>
            </w:pPr>
          </w:p>
        </w:tc>
      </w:tr>
    </w:tbl>
    <w:p>
      <w:pPr>
        <w:rPr>
          <w:b/>
        </w:rPr>
      </w:pPr>
    </w:p>
    <w:p>
      <w:pPr>
        <w:rPr>
          <w:rFonts w:ascii="宋体" w:hAnsi="宋体" w:eastAsia="宋体" w:cs="Times New Roman"/>
          <w:b/>
          <w:color w:val="000000"/>
          <w:szCs w:val="44"/>
        </w:rPr>
      </w:pPr>
      <w:r>
        <w:rPr>
          <w:rFonts w:hint="eastAsia" w:ascii="宋体" w:hAnsi="宋体" w:eastAsia="宋体" w:cs="Times New Roman"/>
          <w:b/>
          <w:color w:val="000000"/>
          <w:szCs w:val="44"/>
        </w:rPr>
        <w:t>财务数据重大变动原因</w:t>
      </w:r>
      <w:r>
        <w:rPr>
          <w:rFonts w:ascii="宋体" w:hAnsi="宋体" w:eastAsia="宋体" w:cs="Times New Roman"/>
          <w:b/>
          <w:color w:val="000000"/>
          <w:szCs w:val="44"/>
        </w:rPr>
        <w:t>：</w:t>
      </w:r>
    </w:p>
    <w:p>
      <w:pPr>
        <w:rPr>
          <w:b/>
        </w:rPr>
      </w:pPr>
      <w:r>
        <w:rPr>
          <w:rFonts w:hint="eastAsia"/>
        </w:rPr>
        <w:t>□  适用  □  不适用</w:t>
      </w:r>
    </w:p>
    <w:tbl>
      <w:tblPr>
        <w:tblStyle w:val="123"/>
        <w:tblW w:w="9638"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9638" w:type="dxa"/>
          </w:tcPr>
          <w:p>
            <w:pPr>
              <w:rPr>
                <w:rFonts w:asciiTheme="minorEastAsia" w:hAnsiTheme="minorEastAsia" w:eastAsiaTheme="minorEastAsia" w:cstheme="minorBidi"/>
                <w:i w:val="0"/>
                <w:color w:val="FF0000"/>
                <w:kern w:val="0"/>
                <w:sz w:val="22"/>
                <w:szCs w:val="22"/>
              </w:rPr>
            </w:pPr>
            <w:r>
              <w:rPr>
                <w:rFonts w:hint="eastAsia" w:asciiTheme="minorEastAsia" w:hAnsiTheme="minorEastAsia" w:eastAsiaTheme="minorEastAsia" w:cstheme="minorBidi"/>
                <w:i w:val="0"/>
                <w:color w:val="FF0000"/>
                <w:kern w:val="0"/>
                <w:sz w:val="22"/>
                <w:szCs w:val="22"/>
                <w:highlight w:val="none"/>
              </w:rPr>
              <w:t>（一）</w:t>
            </w:r>
            <w:r>
              <w:rPr>
                <w:rFonts w:hint="eastAsia" w:asciiTheme="minorEastAsia" w:hAnsiTheme="minorEastAsia"/>
                <w:color w:val="000000" w:themeColor="text1"/>
                <w:kern w:val="0"/>
                <w:sz w:val="22"/>
                <w14:textFill>
                  <w14:solidFill>
                    <w14:schemeClr w14:val="tx1"/>
                  </w14:solidFill>
                </w14:textFill>
              </w:rPr>
              <w:t xml:space="preserve">资产负债表数据重大变化说明 </w:t>
            </w:r>
            <w:bookmarkStart w:id="9" w:name="_GoBack"/>
            <w:bookmarkEnd w:id="9"/>
          </w:p>
          <w:p>
            <w:pPr>
              <w:rPr>
                <w:rFonts w:asciiTheme="minorEastAsia" w:hAnsiTheme="minorEastAsia" w:eastAsiaTheme="minorEastAsia" w:cstheme="minorBidi"/>
                <w:i w:val="0"/>
                <w:color w:val="FF0000"/>
                <w:kern w:val="0"/>
                <w:sz w:val="22"/>
                <w:szCs w:val="22"/>
              </w:rPr>
            </w:pPr>
          </w:p>
          <w:p>
            <w:pPr>
              <w:rPr>
                <w:rFonts w:asciiTheme="minorEastAsia" w:hAnsiTheme="minorEastAsia" w:eastAsiaTheme="minorEastAsia" w:cstheme="minorBidi"/>
                <w:i w:val="0"/>
                <w:color w:val="FF0000"/>
                <w:kern w:val="0"/>
                <w:sz w:val="22"/>
                <w:szCs w:val="22"/>
              </w:rPr>
            </w:pPr>
            <w:r>
              <w:rPr>
                <w:rFonts w:hint="eastAsia" w:asciiTheme="minorEastAsia" w:hAnsiTheme="minorEastAsia" w:eastAsiaTheme="minorEastAsia" w:cstheme="minorBidi"/>
                <w:i w:val="0"/>
                <w:color w:val="FF0000"/>
                <w:kern w:val="0"/>
                <w:sz w:val="22"/>
                <w:szCs w:val="22"/>
                <w:highlight w:val="none"/>
              </w:rPr>
              <w:t>（二）</w:t>
            </w:r>
            <w:r>
              <w:rPr>
                <w:rFonts w:hint="eastAsia" w:asciiTheme="minorEastAsia" w:hAnsiTheme="minorEastAsia"/>
                <w:color w:val="000000" w:themeColor="text1"/>
                <w:kern w:val="0"/>
                <w:sz w:val="22"/>
                <w14:textFill>
                  <w14:solidFill>
                    <w14:schemeClr w14:val="tx1"/>
                  </w14:solidFill>
                </w14:textFill>
              </w:rPr>
              <w:t>利润表数据重大变化说明</w:t>
            </w:r>
          </w:p>
          <w:p>
            <w:pPr>
              <w:rPr>
                <w:rFonts w:asciiTheme="minorEastAsia" w:hAnsiTheme="minorEastAsia" w:eastAsiaTheme="minorEastAsia" w:cstheme="minorBidi"/>
                <w:i w:val="0"/>
                <w:color w:val="FF0000"/>
                <w:kern w:val="0"/>
                <w:sz w:val="22"/>
                <w:szCs w:val="22"/>
              </w:rPr>
            </w:pPr>
          </w:p>
          <w:p>
            <w:pPr>
              <w:rPr>
                <w:rFonts w:asciiTheme="minorEastAsia" w:hAnsiTheme="minorEastAsia" w:eastAsiaTheme="minorEastAsia" w:cstheme="minorBidi"/>
                <w:i w:val="0"/>
                <w:color w:val="FF0000"/>
                <w:kern w:val="0"/>
                <w:sz w:val="22"/>
                <w:szCs w:val="22"/>
              </w:rPr>
            </w:pPr>
            <w:r>
              <w:rPr>
                <w:rFonts w:hint="eastAsia" w:asciiTheme="minorEastAsia" w:hAnsiTheme="minorEastAsia" w:eastAsiaTheme="minorEastAsia" w:cstheme="minorBidi"/>
                <w:i w:val="0"/>
                <w:color w:val="FF0000"/>
                <w:kern w:val="0"/>
                <w:sz w:val="22"/>
                <w:szCs w:val="22"/>
                <w:highlight w:val="none"/>
              </w:rPr>
              <w:t>（三）</w:t>
            </w:r>
            <w:r>
              <w:rPr>
                <w:rFonts w:hint="eastAsia" w:asciiTheme="minorEastAsia" w:hAnsiTheme="minorEastAsia"/>
                <w:color w:val="000000" w:themeColor="text1"/>
                <w:kern w:val="0"/>
                <w:sz w:val="22"/>
                <w14:textFill>
                  <w14:solidFill>
                    <w14:schemeClr w14:val="tx1"/>
                  </w14:solidFill>
                </w14:textFill>
              </w:rPr>
              <w:t>现金流量表数据重大变化说明</w:t>
            </w:r>
          </w:p>
          <w:p>
            <w:pPr>
              <w:tabs>
                <w:tab w:val="left" w:pos="5140"/>
              </w:tabs>
              <w:rPr>
                <w:rFonts w:ascii="宋体" w:hAnsi="宋体" w:eastAsia="宋体" w:cs="Times New Roman"/>
                <w:color w:val="000000"/>
                <w:szCs w:val="44"/>
              </w:rPr>
            </w:pPr>
          </w:p>
        </w:tc>
      </w:tr>
    </w:tbl>
    <w:p>
      <w:pPr>
        <w:tabs>
          <w:tab w:val="left" w:pos="5140"/>
        </w:tabs>
        <w:rPr>
          <w:rFonts w:ascii="宋体" w:hAnsi="宋体" w:eastAsia="宋体" w:cs="Times New Roman"/>
          <w:i/>
          <w:color w:val="FF0000"/>
          <w:szCs w:val="44"/>
        </w:rPr>
      </w:pPr>
      <w:r>
        <w:rPr>
          <w:rFonts w:hint="eastAsia" w:ascii="宋体" w:hAnsi="宋体" w:eastAsia="宋体" w:cs="Times New Roman"/>
          <w:i/>
          <w:color w:val="FF0000"/>
          <w:szCs w:val="44"/>
          <w:highlight w:val="none"/>
        </w:rPr>
        <w:t>注：公司重要会计数据、财务指标与上年度期末或上年同期相比增减变动幅度超过</w:t>
      </w:r>
      <w:r>
        <w:rPr>
          <w:rFonts w:ascii="宋体" w:hAnsi="宋体" w:eastAsia="宋体" w:cs="Times New Roman"/>
          <w:i/>
          <w:color w:val="FF0000"/>
          <w:szCs w:val="44"/>
          <w:highlight w:val="none"/>
        </w:rPr>
        <w:t>30%的，应当分资产负债表</w:t>
      </w:r>
      <w:r>
        <w:rPr>
          <w:rFonts w:hint="eastAsia" w:ascii="宋体" w:hAnsi="宋体" w:eastAsia="宋体" w:cs="Times New Roman"/>
          <w:i/>
          <w:color w:val="FF0000"/>
          <w:szCs w:val="44"/>
          <w:highlight w:val="none"/>
        </w:rPr>
        <w:t>、</w:t>
      </w:r>
      <w:r>
        <w:rPr>
          <w:rFonts w:ascii="宋体" w:hAnsi="宋体" w:eastAsia="宋体" w:cs="Times New Roman"/>
          <w:i/>
          <w:color w:val="FF0000"/>
          <w:szCs w:val="44"/>
          <w:highlight w:val="none"/>
        </w:rPr>
        <w:t>利润表</w:t>
      </w:r>
      <w:r>
        <w:rPr>
          <w:rFonts w:hint="eastAsia" w:ascii="宋体" w:hAnsi="宋体" w:eastAsia="宋体" w:cs="Times New Roman"/>
          <w:i/>
          <w:color w:val="FF0000"/>
          <w:szCs w:val="44"/>
          <w:highlight w:val="none"/>
        </w:rPr>
        <w:t>、</w:t>
      </w:r>
      <w:r>
        <w:rPr>
          <w:rFonts w:ascii="宋体" w:hAnsi="宋体" w:eastAsia="宋体" w:cs="Times New Roman"/>
          <w:i/>
          <w:color w:val="FF0000"/>
          <w:szCs w:val="44"/>
          <w:highlight w:val="none"/>
        </w:rPr>
        <w:t>现金流量表三部分说明情况及主要原因。</w:t>
      </w:r>
    </w:p>
    <w:p>
      <w:pPr>
        <w:rPr>
          <w:b/>
        </w:rPr>
      </w:pPr>
    </w:p>
    <w:p>
      <w:pPr>
        <w:rPr>
          <w:b/>
        </w:rPr>
      </w:pPr>
      <w:r>
        <w:rPr>
          <w:rFonts w:hint="eastAsia"/>
          <w:b/>
        </w:rPr>
        <w:t>年初至报告期末</w:t>
      </w:r>
      <w:r>
        <w:rPr>
          <w:b/>
        </w:rPr>
        <w:t>（1-9</w:t>
      </w:r>
      <w:r>
        <w:rPr>
          <w:rFonts w:hint="eastAsia"/>
          <w:b/>
        </w:rPr>
        <w:t>月</w:t>
      </w:r>
      <w:r>
        <w:rPr>
          <w:b/>
        </w:rPr>
        <w:t>）</w:t>
      </w:r>
      <w:r>
        <w:rPr>
          <w:rFonts w:hint="eastAsia"/>
          <w:b/>
        </w:rPr>
        <w:t>非经常性损益项目和金额：</w:t>
      </w:r>
    </w:p>
    <w:p>
      <w:pPr>
        <w:rPr>
          <w:b/>
        </w:rPr>
      </w:pPr>
      <w:r>
        <w:rPr>
          <w:rFonts w:hint="eastAsia"/>
        </w:rPr>
        <w:t>□  适用  □  不适用</w:t>
      </w:r>
    </w:p>
    <w:p>
      <w:pPr>
        <w:jc w:val="right"/>
        <w:rPr>
          <w:rFonts w:ascii="微软雅黑" w:hAnsi="微软雅黑" w:eastAsia="微软雅黑"/>
          <w:b/>
          <w:sz w:val="22"/>
          <w:szCs w:val="44"/>
        </w:rPr>
      </w:pPr>
      <w:r>
        <w:rPr>
          <w:rFonts w:hint="eastAsia"/>
        </w:rPr>
        <w:t>单位：元</w:t>
      </w:r>
    </w:p>
    <w:tbl>
      <w:tblPr>
        <w:tblStyle w:val="46"/>
        <w:tblW w:w="9380"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5246"/>
        <w:gridCol w:w="4134"/>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12" w:hRule="atLeast"/>
        </w:trPr>
        <w:tc>
          <w:tcPr>
            <w:tcW w:w="5246" w:type="dxa"/>
            <w:shd w:val="pct10" w:color="auto" w:fill="auto"/>
            <w:vAlign w:val="center"/>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项目</w:t>
            </w:r>
          </w:p>
        </w:tc>
        <w:tc>
          <w:tcPr>
            <w:tcW w:w="4134" w:type="dxa"/>
            <w:shd w:val="pct10" w:color="auto" w:fill="auto"/>
            <w:vAlign w:val="center"/>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金额</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6"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8"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asciiTheme="minorEastAsia" w:hAnsiTheme="minorEastAsia"/>
                <w:color w:val="000000" w:themeColor="text1"/>
                <w:kern w:val="0"/>
                <w:sz w:val="22"/>
                <w14:textFill>
                  <w14:solidFill>
                    <w14:schemeClr w14:val="tx1"/>
                  </w14:solidFill>
                </w14:textFill>
              </w:rPr>
              <w:t>…</w:t>
            </w:r>
            <w:r>
              <w:rPr>
                <w:rFonts w:hint="eastAsia" w:asciiTheme="minorEastAsia" w:hAnsiTheme="minorEastAsia"/>
                <w:color w:val="000000" w:themeColor="text1"/>
                <w:kern w:val="0"/>
                <w:sz w:val="22"/>
                <w14:textFill>
                  <w14:solidFill>
                    <w14:schemeClr w14:val="tx1"/>
                  </w14:solidFill>
                </w14:textFill>
              </w:rPr>
              <w:t>（自动添行</w:t>
            </w:r>
            <w:r>
              <w:rPr>
                <w:rFonts w:asciiTheme="minorEastAsia" w:hAnsiTheme="minorEastAsia"/>
                <w:color w:val="000000" w:themeColor="text1"/>
                <w:kern w:val="0"/>
                <w:sz w:val="22"/>
                <w14:textFill>
                  <w14:solidFill>
                    <w14:schemeClr w14:val="tx1"/>
                  </w14:solidFill>
                </w14:textFill>
              </w:rPr>
              <w:t>）</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5" w:hRule="atLeast"/>
        </w:trPr>
        <w:tc>
          <w:tcPr>
            <w:tcW w:w="5246" w:type="dxa"/>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非经常性损益合计</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hint="eastAsia" w:asciiTheme="minorEastAsia" w:hAnsiTheme="minorEastAsia"/>
                <w:color w:val="000000" w:themeColor="text1"/>
                <w:kern w:val="0"/>
                <w:sz w:val="22"/>
                <w14:textFill>
                  <w14:solidFill>
                    <w14:schemeClr w14:val="tx1"/>
                  </w14:solidFill>
                </w14:textFill>
              </w:rPr>
              <w:t>所得税</w:t>
            </w:r>
            <w:r>
              <w:rPr>
                <w:rFonts w:asciiTheme="minorEastAsia" w:hAnsiTheme="minorEastAsia"/>
                <w:color w:val="000000" w:themeColor="text1"/>
                <w:kern w:val="0"/>
                <w:sz w:val="22"/>
                <w14:textFill>
                  <w14:solidFill>
                    <w14:schemeClr w14:val="tx1"/>
                  </w14:solidFill>
                </w14:textFill>
              </w:rPr>
              <w:t>影响数</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43" w:hRule="atLeast"/>
        </w:trPr>
        <w:tc>
          <w:tcPr>
            <w:tcW w:w="5246" w:type="dxa"/>
          </w:tcPr>
          <w:p>
            <w:pPr>
              <w:jc w:val="left"/>
              <w:rPr>
                <w:rFonts w:asciiTheme="minorEastAsia" w:hAnsiTheme="minorEastAsia"/>
                <w:color w:val="000000" w:themeColor="text1"/>
                <w:kern w:val="0"/>
                <w:sz w:val="22"/>
                <w14:textFill>
                  <w14:solidFill>
                    <w14:schemeClr w14:val="tx1"/>
                  </w14:solidFill>
                </w14:textFill>
              </w:rPr>
            </w:pPr>
            <w:r>
              <w:rPr>
                <w:rFonts w:hint="eastAsia"/>
                <w:color w:val="000000" w:themeColor="text1"/>
                <w:sz w:val="22"/>
                <w14:textFill>
                  <w14:solidFill>
                    <w14:schemeClr w14:val="tx1"/>
                  </w14:solidFill>
                </w14:textFill>
              </w:rPr>
              <w:t>少数股东权益影响额（税后）</w:t>
            </w:r>
          </w:p>
        </w:tc>
        <w:tc>
          <w:tcPr>
            <w:tcW w:w="4134" w:type="dxa"/>
          </w:tcPr>
          <w:p>
            <w:pPr>
              <w:rPr>
                <w:rFonts w:asciiTheme="minorEastAsia" w:hAnsiTheme="minorEastAsia"/>
                <w:color w:val="000000" w:themeColor="text1"/>
                <w:kern w:val="0"/>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3" w:hRule="atLeast"/>
        </w:trPr>
        <w:tc>
          <w:tcPr>
            <w:tcW w:w="5246" w:type="dxa"/>
          </w:tcPr>
          <w:p>
            <w:pPr>
              <w:jc w:val="center"/>
              <w:rPr>
                <w:rFonts w:asciiTheme="minorEastAsia" w:hAnsiTheme="minorEastAsia"/>
                <w:b/>
                <w:color w:val="000000" w:themeColor="text1"/>
                <w:kern w:val="0"/>
                <w:sz w:val="22"/>
                <w14:textFill>
                  <w14:solidFill>
                    <w14:schemeClr w14:val="tx1"/>
                  </w14:solidFill>
                </w14:textFill>
              </w:rPr>
            </w:pPr>
            <w:r>
              <w:rPr>
                <w:rFonts w:hint="eastAsia" w:asciiTheme="minorEastAsia" w:hAnsiTheme="minorEastAsia"/>
                <w:b/>
                <w:color w:val="000000" w:themeColor="text1"/>
                <w:kern w:val="0"/>
                <w:sz w:val="22"/>
                <w14:textFill>
                  <w14:solidFill>
                    <w14:schemeClr w14:val="tx1"/>
                  </w14:solidFill>
                </w14:textFill>
              </w:rPr>
              <w:t>非经常性</w:t>
            </w:r>
            <w:r>
              <w:rPr>
                <w:rFonts w:asciiTheme="minorEastAsia" w:hAnsiTheme="minorEastAsia"/>
                <w:b/>
                <w:color w:val="000000" w:themeColor="text1"/>
                <w:kern w:val="0"/>
                <w:sz w:val="22"/>
                <w14:textFill>
                  <w14:solidFill>
                    <w14:schemeClr w14:val="tx1"/>
                  </w14:solidFill>
                </w14:textFill>
              </w:rPr>
              <w:t>损益净额</w:t>
            </w:r>
          </w:p>
        </w:tc>
        <w:tc>
          <w:tcPr>
            <w:tcW w:w="4134" w:type="dxa"/>
          </w:tcPr>
          <w:p>
            <w:pPr>
              <w:rPr>
                <w:rFonts w:asciiTheme="minorEastAsia" w:hAnsiTheme="minorEastAsia"/>
                <w:color w:val="000000" w:themeColor="text1"/>
                <w:kern w:val="0"/>
                <w:sz w:val="22"/>
                <w14:textFill>
                  <w14:solidFill>
                    <w14:schemeClr w14:val="tx1"/>
                  </w14:solidFill>
                </w14:textFill>
              </w:rPr>
            </w:pPr>
          </w:p>
        </w:tc>
      </w:tr>
    </w:tbl>
    <w:p>
      <w:pPr>
        <w:rPr>
          <w:rFonts w:ascii="宋体" w:hAnsi="宋体" w:eastAsia="宋体"/>
          <w:b/>
        </w:rPr>
      </w:pPr>
    </w:p>
    <w:p>
      <w:pPr>
        <w:rPr>
          <w:rFonts w:ascii="宋体" w:hAnsi="宋体" w:eastAsia="宋体"/>
          <w:b/>
        </w:rPr>
      </w:pPr>
      <w:r>
        <w:rPr>
          <w:rFonts w:hint="eastAsia" w:ascii="宋体" w:hAnsi="宋体" w:eastAsia="宋体"/>
          <w:b/>
        </w:rPr>
        <w:t>补充财务指标：</w:t>
      </w:r>
    </w:p>
    <w:p>
      <w:pPr>
        <w:rPr>
          <w:rFonts w:ascii="Calibri" w:hAnsi="Calibri" w:eastAsia="宋体" w:cs="Times New Roman"/>
        </w:rPr>
      </w:pP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适用</w:t>
      </w:r>
      <w:r>
        <w:rPr>
          <w:rFonts w:ascii="Calibri" w:hAnsi="Calibri" w:eastAsia="宋体" w:cs="Times New Roman"/>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不适用</w:t>
      </w:r>
    </w:p>
    <w:tbl>
      <w:tblPr>
        <w:tblStyle w:val="46"/>
        <w:tblW w:w="9640" w:type="dxa"/>
        <w:tblInd w:w="-572" w:type="dxa"/>
        <w:tblLayout w:type="autofit"/>
        <w:tblCellMar>
          <w:top w:w="0" w:type="dxa"/>
          <w:left w:w="108" w:type="dxa"/>
          <w:bottom w:w="0" w:type="dxa"/>
          <w:right w:w="108" w:type="dxa"/>
        </w:tblCellMar>
      </w:tblPr>
      <w:tblGrid>
        <w:gridCol w:w="9640"/>
      </w:tblGrid>
      <w:tr>
        <w:tblPrEx>
          <w:tblCellMar>
            <w:top w:w="0" w:type="dxa"/>
            <w:left w:w="108" w:type="dxa"/>
            <w:bottom w:w="0" w:type="dxa"/>
            <w:right w:w="108" w:type="dxa"/>
          </w:tblCellMar>
        </w:tblPrEx>
        <w:tc>
          <w:tcPr>
            <w:tcW w:w="9640"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FF0000"/>
                <w:szCs w:val="44"/>
              </w:rPr>
            </w:pPr>
            <w:r>
              <w:rPr>
                <w:rFonts w:hint="eastAsia" w:ascii="宋体" w:hAnsi="宋体" w:eastAsia="宋体" w:cs="Times New Roman"/>
                <w:i/>
                <w:color w:val="FF0000"/>
                <w:szCs w:val="44"/>
              </w:rPr>
              <w:t>注：公司可以根据实际情况选择与企业经营关联性强、体现企业核心竞争力的关键指标进行披露，例如市场份额、客户保持率、研发投入与当期营业收入比、新产品投资回报率等。</w:t>
            </w:r>
          </w:p>
          <w:p>
            <w:pPr>
              <w:tabs>
                <w:tab w:val="left" w:pos="5140"/>
              </w:tabs>
              <w:rPr>
                <w:rFonts w:ascii="宋体" w:hAnsi="宋体" w:eastAsia="宋体" w:cs="Times New Roman"/>
                <w:i/>
                <w:color w:val="000000"/>
                <w:szCs w:val="44"/>
              </w:rPr>
            </w:pPr>
            <w:r>
              <w:rPr>
                <w:rFonts w:hint="eastAsia" w:ascii="宋体" w:hAnsi="宋体" w:eastAsia="宋体" w:cs="Times New Roman"/>
                <w:i/>
                <w:color w:val="FF0000"/>
                <w:szCs w:val="44"/>
              </w:rPr>
              <w:t>自愿披露的指标应有助于投资者判断企业经营状况，列示指标时应当说明计算的方法及所用数据的来源。</w:t>
            </w:r>
          </w:p>
        </w:tc>
      </w:tr>
    </w:tbl>
    <w:p>
      <w:pPr>
        <w:rPr>
          <w:b/>
        </w:rPr>
      </w:pPr>
    </w:p>
    <w:p>
      <w:pPr>
        <w:rPr>
          <w:b/>
        </w:rPr>
      </w:pPr>
      <w:r>
        <w:rPr>
          <w:rFonts w:hint="eastAsia"/>
          <w:b/>
        </w:rPr>
        <w:t>会计数据</w:t>
      </w:r>
      <w:r>
        <w:rPr>
          <w:b/>
        </w:rPr>
        <w:t>追溯调整或重述情况</w:t>
      </w:r>
      <w:r>
        <w:rPr>
          <w:rFonts w:hint="eastAsia"/>
          <w:b/>
        </w:rPr>
        <w:t>：</w:t>
      </w:r>
    </w:p>
    <w:p>
      <w:pPr>
        <w:rPr>
          <w:rFonts w:ascii="Calibri" w:hAnsi="Calibri" w:eastAsia="宋体" w:cs="Times New Roman"/>
        </w:rPr>
      </w:pP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会计政策变更</w:t>
      </w:r>
      <w:r>
        <w:rPr>
          <w:rFonts w:ascii="Calibri" w:hAnsi="Calibri" w:eastAsia="宋体" w:cs="Times New Roman"/>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会计差错更正</w:t>
      </w:r>
      <w:r>
        <w:rPr>
          <w:rFonts w:ascii="Calibri" w:hAnsi="Calibri" w:eastAsia="宋体" w:cs="Times New Roman"/>
        </w:rPr>
        <w:t xml:space="preserve">      </w:t>
      </w:r>
      <w:r>
        <w:rPr>
          <w:rFonts w:hint="eastAsia"/>
        </w:rPr>
        <w:t>□</w:t>
      </w:r>
      <w:r>
        <w:t xml:space="preserve">  </w:t>
      </w:r>
      <w:r>
        <w:rPr>
          <w:rFonts w:hint="eastAsia"/>
        </w:rPr>
        <w:t>其他原因</w:t>
      </w:r>
      <w:r>
        <w:rPr>
          <w:rFonts w:hint="eastAsia"/>
          <w:color w:val="FF0000"/>
          <w:u w:val="single"/>
        </w:rPr>
        <w:t xml:space="preserve">（请填写具体原因）  </w:t>
      </w:r>
      <w:r>
        <w:rPr>
          <w:color w:val="FF0000"/>
          <w:u w:val="single"/>
        </w:rPr>
        <w:t xml:space="preserve">  </w:t>
      </w:r>
      <w:r>
        <w:rPr>
          <w:rFonts w:hint="eastAsia"/>
          <w:color w:val="FF0000"/>
          <w:u w:val="single"/>
        </w:rPr>
        <w:t xml:space="preserve">  </w:t>
      </w:r>
      <w:r>
        <w:rPr>
          <w:rFonts w:hint="eastAsia" w:ascii="Calibri" w:hAnsi="Calibri" w:eastAsia="宋体" w:cs="Times New Roman"/>
        </w:rPr>
        <w:t>□</w:t>
      </w:r>
      <w:r>
        <w:rPr>
          <w:rFonts w:ascii="Calibri" w:hAnsi="Calibri" w:eastAsia="宋体" w:cs="Times New Roman"/>
        </w:rPr>
        <w:t xml:space="preserve">  </w:t>
      </w:r>
      <w:r>
        <w:rPr>
          <w:rFonts w:hint="eastAsia" w:ascii="Calibri" w:hAnsi="Calibri" w:eastAsia="宋体" w:cs="Times New Roman"/>
        </w:rPr>
        <w:t xml:space="preserve">不适用 </w:t>
      </w:r>
    </w:p>
    <w:p>
      <w:pPr>
        <w:jc w:val="right"/>
        <w:rPr>
          <w:rFonts w:ascii="Calibri" w:hAnsi="Calibri" w:eastAsia="宋体" w:cs="Times New Roman"/>
          <w:szCs w:val="21"/>
        </w:rPr>
      </w:pPr>
      <w:r>
        <w:rPr>
          <w:rFonts w:hint="eastAsia" w:ascii="Calibri" w:hAnsi="Calibri" w:eastAsia="宋体" w:cs="Times New Roman"/>
        </w:rPr>
        <w:t xml:space="preserve">      </w:t>
      </w:r>
      <w:r>
        <w:rPr>
          <w:rFonts w:hint="eastAsia" w:ascii="Calibri" w:hAnsi="Calibri" w:eastAsia="宋体" w:cs="Times New Roman"/>
          <w:szCs w:val="21"/>
        </w:rPr>
        <w:t xml:space="preserve"> </w:t>
      </w:r>
      <w:r>
        <w:rPr>
          <w:rFonts w:hint="eastAsia" w:ascii="宋体" w:hAnsi="宋体" w:eastAsia="宋体" w:cs="Times New Roman"/>
          <w:kern w:val="0"/>
          <w:szCs w:val="21"/>
        </w:rPr>
        <w:t>单位：元</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1419"/>
        <w:gridCol w:w="2055"/>
        <w:gridCol w:w="2055"/>
        <w:gridCol w:w="2055"/>
        <w:gridCol w:w="205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419" w:type="dxa"/>
            <w:vMerge w:val="restart"/>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科目</w:t>
            </w:r>
          </w:p>
        </w:tc>
        <w:tc>
          <w:tcPr>
            <w:tcW w:w="4110" w:type="dxa"/>
            <w:gridSpan w:val="2"/>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上年</w:t>
            </w:r>
            <w:r>
              <w:rPr>
                <w:rFonts w:ascii="宋体" w:hAnsi="宋体" w:eastAsia="宋体" w:cs="Times New Roman"/>
                <w:b/>
                <w:color w:val="000000"/>
                <w:kern w:val="0"/>
                <w:sz w:val="22"/>
              </w:rPr>
              <w:t>期末（</w:t>
            </w:r>
            <w:r>
              <w:rPr>
                <w:rFonts w:hint="eastAsia" w:ascii="宋体" w:hAnsi="宋体" w:eastAsia="宋体" w:cs="Times New Roman"/>
                <w:b/>
                <w:color w:val="000000"/>
                <w:kern w:val="0"/>
                <w:sz w:val="22"/>
              </w:rPr>
              <w:t>上年同期</w:t>
            </w:r>
            <w:r>
              <w:rPr>
                <w:rFonts w:ascii="宋体" w:hAnsi="宋体" w:eastAsia="宋体" w:cs="Times New Roman"/>
                <w:b/>
                <w:color w:val="000000"/>
                <w:kern w:val="0"/>
                <w:sz w:val="22"/>
              </w:rPr>
              <w:t>）</w:t>
            </w:r>
          </w:p>
        </w:tc>
        <w:tc>
          <w:tcPr>
            <w:tcW w:w="4110" w:type="dxa"/>
            <w:gridSpan w:val="2"/>
            <w:shd w:val="pct10" w:color="auto" w:fill="auto"/>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上上年</w:t>
            </w:r>
            <w:r>
              <w:rPr>
                <w:rFonts w:ascii="宋体" w:hAnsi="宋体" w:eastAsia="宋体" w:cs="Times New Roman"/>
                <w:b/>
                <w:color w:val="000000"/>
                <w:kern w:val="0"/>
                <w:sz w:val="22"/>
              </w:rPr>
              <w:t>期末（</w:t>
            </w:r>
            <w:r>
              <w:rPr>
                <w:rFonts w:hint="eastAsia" w:ascii="宋体" w:hAnsi="宋体" w:eastAsia="宋体" w:cs="Times New Roman"/>
                <w:b/>
                <w:color w:val="000000"/>
                <w:kern w:val="0"/>
                <w:sz w:val="22"/>
              </w:rPr>
              <w:t>上上年同期</w:t>
            </w:r>
            <w:r>
              <w:rPr>
                <w:rFonts w:ascii="宋体" w:hAnsi="宋体" w:eastAsia="宋体" w:cs="Times New Roman"/>
                <w:b/>
                <w:color w:val="00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81" w:hRule="atLeast"/>
        </w:trPr>
        <w:tc>
          <w:tcPr>
            <w:tcW w:w="1419" w:type="dxa"/>
            <w:vMerge w:val="continue"/>
            <w:shd w:val="pct10" w:color="auto" w:fill="auto"/>
            <w:vAlign w:val="center"/>
          </w:tcPr>
          <w:p>
            <w:pPr>
              <w:jc w:val="left"/>
              <w:rPr>
                <w:rFonts w:ascii="宋体" w:hAnsi="宋体" w:eastAsia="宋体" w:cs="Times New Roman"/>
                <w:b/>
                <w:color w:val="000000"/>
                <w:kern w:val="0"/>
                <w:sz w:val="22"/>
              </w:rPr>
            </w:pPr>
          </w:p>
        </w:tc>
        <w:tc>
          <w:tcPr>
            <w:tcW w:w="2055" w:type="dxa"/>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调整重述前</w:t>
            </w:r>
          </w:p>
        </w:tc>
        <w:tc>
          <w:tcPr>
            <w:tcW w:w="2055" w:type="dxa"/>
            <w:shd w:val="pct10" w:color="auto" w:fill="auto"/>
            <w:vAlign w:val="center"/>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w:t>
            </w:r>
            <w:r>
              <w:rPr>
                <w:rFonts w:ascii="宋体" w:hAnsi="宋体" w:eastAsia="宋体" w:cs="Times New Roman"/>
                <w:b/>
                <w:color w:val="000000"/>
                <w:kern w:val="0"/>
                <w:sz w:val="22"/>
              </w:rPr>
              <w:t>重述后</w:t>
            </w:r>
          </w:p>
        </w:tc>
        <w:tc>
          <w:tcPr>
            <w:tcW w:w="2055" w:type="dxa"/>
            <w:shd w:val="pct10" w:color="auto" w:fill="auto"/>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调整重述前</w:t>
            </w:r>
          </w:p>
        </w:tc>
        <w:tc>
          <w:tcPr>
            <w:tcW w:w="2055" w:type="dxa"/>
            <w:shd w:val="pct10" w:color="auto" w:fill="auto"/>
          </w:tcPr>
          <w:p>
            <w:pPr>
              <w:jc w:val="center"/>
              <w:rPr>
                <w:rFonts w:ascii="宋体" w:hAnsi="宋体" w:eastAsia="宋体" w:cs="Times New Roman"/>
                <w:b/>
                <w:color w:val="000000"/>
                <w:kern w:val="0"/>
                <w:sz w:val="22"/>
              </w:rPr>
            </w:pPr>
            <w:r>
              <w:rPr>
                <w:rFonts w:hint="eastAsia" w:ascii="宋体" w:hAnsi="宋体" w:eastAsia="宋体" w:cs="Times New Roman"/>
                <w:b/>
                <w:color w:val="000000"/>
                <w:kern w:val="0"/>
                <w:sz w:val="22"/>
              </w:rPr>
              <w:t>调整重述后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9" w:hRule="atLeast"/>
        </w:trPr>
        <w:tc>
          <w:tcPr>
            <w:tcW w:w="1419" w:type="dxa"/>
          </w:tcPr>
          <w:p>
            <w:pPr>
              <w:jc w:val="left"/>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47" w:hRule="atLeast"/>
        </w:trPr>
        <w:tc>
          <w:tcPr>
            <w:tcW w:w="1419" w:type="dxa"/>
          </w:tcPr>
          <w:p>
            <w:pPr>
              <w:jc w:val="cente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7" w:hRule="atLeast"/>
        </w:trPr>
        <w:tc>
          <w:tcPr>
            <w:tcW w:w="1419" w:type="dxa"/>
          </w:tcPr>
          <w:p>
            <w:pPr>
              <w:jc w:val="left"/>
              <w:rPr>
                <w:rFonts w:ascii="宋体" w:hAnsi="宋体" w:eastAsia="宋体" w:cs="Times New Roman"/>
                <w:color w:val="000000"/>
                <w:kern w:val="0"/>
                <w:sz w:val="22"/>
              </w:rPr>
            </w:pPr>
            <w:r>
              <w:rPr>
                <w:rFonts w:hint="eastAsia" w:ascii="宋体" w:hAnsi="宋体" w:eastAsia="宋体" w:cs="Times New Roman"/>
                <w:color w:val="000000"/>
                <w:kern w:val="0"/>
                <w:sz w:val="22"/>
              </w:rPr>
              <w:t>（自动添行</w:t>
            </w:r>
            <w:r>
              <w:rPr>
                <w:rFonts w:ascii="宋体" w:hAnsi="宋体" w:eastAsia="宋体" w:cs="Times New Roman"/>
                <w:color w:val="000000"/>
                <w:kern w:val="0"/>
                <w:sz w:val="22"/>
              </w:rPr>
              <w:t>）</w:t>
            </w: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c>
          <w:tcPr>
            <w:tcW w:w="2055" w:type="dxa"/>
          </w:tcPr>
          <w:p>
            <w:pPr>
              <w:rPr>
                <w:rFonts w:ascii="宋体" w:hAnsi="宋体" w:eastAsia="宋体" w:cs="Times New Roman"/>
                <w:color w:val="000000"/>
                <w:kern w:val="0"/>
                <w:sz w:val="22"/>
              </w:rPr>
            </w:pPr>
          </w:p>
        </w:tc>
      </w:tr>
    </w:tbl>
    <w:p>
      <w:pPr>
        <w:pStyle w:val="64"/>
        <w:kinsoku w:val="0"/>
        <w:overflowPunct w:val="0"/>
        <w:autoSpaceDE w:val="0"/>
        <w:autoSpaceDN w:val="0"/>
        <w:adjustRightInd w:val="0"/>
        <w:ind w:left="-567" w:leftChars="-270" w:right="-766" w:firstLine="0" w:firstLineChars="0"/>
        <w:rPr>
          <w:rFonts w:eastAsiaTheme="minorEastAsia"/>
        </w:rPr>
      </w:pPr>
      <w:r>
        <w:rPr>
          <w:rFonts w:hint="eastAsia" w:asciiTheme="minorEastAsia" w:hAnsiTheme="minorEastAsia" w:eastAsiaTheme="minorEastAsia"/>
          <w:i/>
          <w:color w:val="FF0000"/>
          <w:szCs w:val="21"/>
        </w:rPr>
        <w:t>注：1. 在报告期内公司因派发股票股利、公积金转增股本但不影响股东权益金额的，应当根据相关会计准则的规定按最新股本调整并列报基本每股收益和稀释每股收益。2.本报告期对以前期间财务数据进行追溯调整或重述的，应当同时列示追溯调整或重述前后的数据。</w:t>
      </w:r>
    </w:p>
    <w:p/>
    <w:p>
      <w:pPr>
        <w:ind w:left="-567" w:leftChars="-270" w:firstLine="426" w:firstLineChars="193"/>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三、报告期期末的普通股</w:t>
      </w:r>
      <w:r>
        <w:rPr>
          <w:rFonts w:ascii="微软雅黑" w:hAnsi="微软雅黑" w:eastAsia="微软雅黑"/>
          <w:b/>
          <w:color w:val="000000" w:themeColor="text1"/>
          <w:sz w:val="22"/>
          <w:szCs w:val="44"/>
          <w14:textFill>
            <w14:solidFill>
              <w14:schemeClr w14:val="tx1"/>
            </w14:solidFill>
          </w14:textFill>
        </w:rPr>
        <w:t>股本结构、</w:t>
      </w:r>
      <w:r>
        <w:rPr>
          <w:rFonts w:hint="eastAsia" w:ascii="微软雅黑" w:hAnsi="微软雅黑" w:eastAsia="微软雅黑"/>
          <w:b/>
          <w:color w:val="000000" w:themeColor="text1"/>
          <w:sz w:val="22"/>
          <w:szCs w:val="44"/>
          <w14:textFill>
            <w14:solidFill>
              <w14:schemeClr w14:val="tx1"/>
            </w14:solidFill>
          </w14:textFill>
        </w:rPr>
        <w:t>持股5%以上的股东或前十名</w:t>
      </w:r>
      <w:r>
        <w:rPr>
          <w:rFonts w:ascii="微软雅黑" w:hAnsi="微软雅黑" w:eastAsia="微软雅黑"/>
          <w:b/>
          <w:color w:val="000000" w:themeColor="text1"/>
          <w:sz w:val="22"/>
          <w:szCs w:val="44"/>
          <w14:textFill>
            <w14:solidFill>
              <w14:schemeClr w14:val="tx1"/>
            </w14:solidFill>
          </w14:textFill>
        </w:rPr>
        <w:t>股东情况</w:t>
      </w:r>
    </w:p>
    <w:p>
      <w:pPr>
        <w:jc w:val="right"/>
      </w:pPr>
      <w:r>
        <w:rPr>
          <w:rFonts w:hint="eastAsia"/>
        </w:rPr>
        <w:t xml:space="preserve">                                                                </w:t>
      </w:r>
      <w:r>
        <w:t xml:space="preserve"> </w:t>
      </w:r>
      <w:r>
        <w:rPr>
          <w:rFonts w:asciiTheme="minorEastAsia" w:hAnsiTheme="minorEastAsia"/>
          <w:szCs w:val="21"/>
        </w:rPr>
        <w:t xml:space="preserve">  </w:t>
      </w:r>
      <w:r>
        <w:rPr>
          <w:rFonts w:hint="eastAsia"/>
        </w:rPr>
        <w:t>单位</w:t>
      </w:r>
      <w:r>
        <w:t>：股</w:t>
      </w:r>
    </w:p>
    <w:tbl>
      <w:tblPr>
        <w:tblStyle w:val="46"/>
        <w:tblW w:w="5724"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823"/>
        <w:gridCol w:w="3540"/>
        <w:gridCol w:w="977"/>
        <w:gridCol w:w="988"/>
        <w:gridCol w:w="1340"/>
        <w:gridCol w:w="1101"/>
        <w:gridCol w:w="94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5000" w:type="pct"/>
            <w:gridSpan w:val="7"/>
            <w:shd w:val="pct10" w:color="auto" w:fill="auto"/>
            <w:vAlign w:val="center"/>
          </w:tcPr>
          <w:p>
            <w:pPr>
              <w:jc w:val="center"/>
              <w:rPr>
                <w:b/>
                <w:sz w:val="22"/>
              </w:rPr>
            </w:pPr>
            <w:r>
              <w:rPr>
                <w:rFonts w:hint="eastAsia"/>
                <w:b/>
                <w:sz w:val="22"/>
              </w:rPr>
              <w:t>普通股股本结构</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restart"/>
            <w:shd w:val="pct10" w:color="auto" w:fill="auto"/>
            <w:vAlign w:val="center"/>
          </w:tcPr>
          <w:p>
            <w:pPr>
              <w:jc w:val="center"/>
              <w:rPr>
                <w:b/>
                <w:sz w:val="22"/>
              </w:rPr>
            </w:pPr>
            <w:r>
              <w:rPr>
                <w:rFonts w:hint="eastAsia"/>
                <w:b/>
                <w:sz w:val="22"/>
              </w:rPr>
              <w:t>股份性质</w:t>
            </w:r>
          </w:p>
        </w:tc>
        <w:tc>
          <w:tcPr>
            <w:tcW w:w="1012" w:type="pct"/>
            <w:gridSpan w:val="2"/>
            <w:shd w:val="pct10" w:color="auto" w:fill="auto"/>
            <w:vAlign w:val="center"/>
          </w:tcPr>
          <w:p>
            <w:pPr>
              <w:jc w:val="center"/>
              <w:rPr>
                <w:b/>
                <w:sz w:val="22"/>
              </w:rPr>
            </w:pPr>
            <w:r>
              <w:rPr>
                <w:rFonts w:hint="eastAsia"/>
                <w:b/>
                <w:sz w:val="22"/>
              </w:rPr>
              <w:t>期初</w:t>
            </w:r>
          </w:p>
        </w:tc>
        <w:tc>
          <w:tcPr>
            <w:tcW w:w="690" w:type="pct"/>
            <w:vMerge w:val="restart"/>
            <w:shd w:val="pct10" w:color="auto" w:fill="auto"/>
            <w:vAlign w:val="center"/>
          </w:tcPr>
          <w:p>
            <w:pPr>
              <w:jc w:val="center"/>
              <w:rPr>
                <w:b/>
                <w:sz w:val="22"/>
              </w:rPr>
            </w:pPr>
            <w:r>
              <w:rPr>
                <w:rFonts w:hint="eastAsia"/>
                <w:b/>
                <w:sz w:val="22"/>
              </w:rPr>
              <w:t>本期</w:t>
            </w:r>
          </w:p>
          <w:p>
            <w:pPr>
              <w:jc w:val="center"/>
              <w:rPr>
                <w:b/>
                <w:sz w:val="22"/>
              </w:rPr>
            </w:pPr>
            <w:r>
              <w:rPr>
                <w:rFonts w:hint="eastAsia"/>
                <w:b/>
                <w:sz w:val="22"/>
              </w:rPr>
              <w:t>变动</w:t>
            </w:r>
          </w:p>
        </w:tc>
        <w:tc>
          <w:tcPr>
            <w:tcW w:w="1052" w:type="pct"/>
            <w:gridSpan w:val="2"/>
            <w:shd w:val="pct10" w:color="auto" w:fill="auto"/>
            <w:vAlign w:val="center"/>
          </w:tcPr>
          <w:p>
            <w:pPr>
              <w:jc w:val="center"/>
              <w:rPr>
                <w:b/>
                <w:sz w:val="22"/>
              </w:rPr>
            </w:pPr>
            <w:r>
              <w:rPr>
                <w:rFonts w:hint="eastAsia"/>
                <w:b/>
                <w:sz w:val="22"/>
              </w:rPr>
              <w:t>期末</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vMerge w:val="continue"/>
            <w:shd w:val="pct10" w:color="auto" w:fill="auto"/>
            <w:vAlign w:val="center"/>
          </w:tcPr>
          <w:p>
            <w:pPr>
              <w:ind w:right="420" w:firstLine="1104" w:firstLineChars="500"/>
              <w:rPr>
                <w:b/>
                <w:sz w:val="22"/>
              </w:rPr>
            </w:pPr>
          </w:p>
        </w:tc>
        <w:tc>
          <w:tcPr>
            <w:tcW w:w="503" w:type="pct"/>
            <w:shd w:val="pct10" w:color="auto" w:fill="auto"/>
            <w:vAlign w:val="center"/>
          </w:tcPr>
          <w:p>
            <w:pPr>
              <w:jc w:val="center"/>
              <w:rPr>
                <w:b/>
                <w:sz w:val="22"/>
              </w:rPr>
            </w:pPr>
            <w:r>
              <w:rPr>
                <w:rFonts w:hint="eastAsia"/>
                <w:b/>
                <w:sz w:val="22"/>
              </w:rPr>
              <w:t>数量</w:t>
            </w:r>
          </w:p>
        </w:tc>
        <w:tc>
          <w:tcPr>
            <w:tcW w:w="509" w:type="pct"/>
            <w:shd w:val="pct10" w:color="auto" w:fill="auto"/>
            <w:vAlign w:val="center"/>
          </w:tcPr>
          <w:p>
            <w:pPr>
              <w:jc w:val="center"/>
              <w:rPr>
                <w:b/>
                <w:sz w:val="22"/>
              </w:rPr>
            </w:pPr>
            <w:r>
              <w:rPr>
                <w:rFonts w:hint="eastAsia"/>
                <w:b/>
                <w:sz w:val="22"/>
              </w:rPr>
              <w:t>比例</w:t>
            </w:r>
            <w:r>
              <w:rPr>
                <w:b/>
                <w:sz w:val="22"/>
              </w:rPr>
              <w:t>%</w:t>
            </w:r>
          </w:p>
        </w:tc>
        <w:tc>
          <w:tcPr>
            <w:tcW w:w="690" w:type="pct"/>
            <w:vMerge w:val="continue"/>
            <w:shd w:val="pct10" w:color="auto" w:fill="auto"/>
            <w:vAlign w:val="center"/>
          </w:tcPr>
          <w:p>
            <w:pPr>
              <w:ind w:right="420"/>
              <w:rPr>
                <w:b/>
                <w:sz w:val="22"/>
              </w:rPr>
            </w:pPr>
          </w:p>
        </w:tc>
        <w:tc>
          <w:tcPr>
            <w:tcW w:w="567" w:type="pct"/>
            <w:shd w:val="pct10" w:color="auto" w:fill="auto"/>
            <w:vAlign w:val="center"/>
          </w:tcPr>
          <w:p>
            <w:pPr>
              <w:jc w:val="center"/>
              <w:rPr>
                <w:b/>
                <w:sz w:val="22"/>
              </w:rPr>
            </w:pPr>
            <w:r>
              <w:rPr>
                <w:rFonts w:hint="eastAsia"/>
                <w:b/>
                <w:sz w:val="22"/>
              </w:rPr>
              <w:t>数量</w:t>
            </w:r>
          </w:p>
        </w:tc>
        <w:tc>
          <w:tcPr>
            <w:tcW w:w="484" w:type="pct"/>
            <w:shd w:val="pct10" w:color="auto" w:fill="auto"/>
            <w:vAlign w:val="center"/>
          </w:tcPr>
          <w:p>
            <w:pPr>
              <w:jc w:val="center"/>
              <w:rPr>
                <w:b/>
                <w:sz w:val="22"/>
              </w:rPr>
            </w:pPr>
            <w:r>
              <w:rPr>
                <w:rFonts w:hint="eastAsia"/>
                <w:b/>
                <w:sz w:val="22"/>
              </w:rPr>
              <w:t>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424" w:type="pct"/>
            <w:vMerge w:val="restart"/>
            <w:vAlign w:val="center"/>
          </w:tcPr>
          <w:p>
            <w:pPr>
              <w:jc w:val="center"/>
              <w:rPr>
                <w:sz w:val="22"/>
              </w:rPr>
            </w:pPr>
            <w:r>
              <w:rPr>
                <w:rFonts w:hint="eastAsia"/>
                <w:sz w:val="22"/>
              </w:rPr>
              <w:t>无限售条件股份</w:t>
            </w:r>
          </w:p>
        </w:tc>
        <w:tc>
          <w:tcPr>
            <w:tcW w:w="1822" w:type="pct"/>
          </w:tcPr>
          <w:p>
            <w:pPr>
              <w:jc w:val="left"/>
              <w:rPr>
                <w:sz w:val="22"/>
              </w:rPr>
            </w:pPr>
            <w:r>
              <w:rPr>
                <w:rFonts w:hint="eastAsia"/>
                <w:sz w:val="22"/>
              </w:rPr>
              <w:t>无限售股份总数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70" w:hRule="atLeast"/>
        </w:trPr>
        <w:tc>
          <w:tcPr>
            <w:tcW w:w="424" w:type="pct"/>
            <w:vMerge w:val="continue"/>
            <w:vAlign w:val="center"/>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restart"/>
            <w:vAlign w:val="center"/>
          </w:tcPr>
          <w:p>
            <w:pPr>
              <w:jc w:val="center"/>
              <w:rPr>
                <w:sz w:val="22"/>
              </w:rPr>
            </w:pPr>
            <w:r>
              <w:rPr>
                <w:rFonts w:hint="eastAsia"/>
                <w:sz w:val="22"/>
              </w:rPr>
              <w:t>有限售条件股份</w:t>
            </w:r>
          </w:p>
        </w:tc>
        <w:tc>
          <w:tcPr>
            <w:tcW w:w="1822" w:type="pct"/>
          </w:tcPr>
          <w:p>
            <w:pPr>
              <w:jc w:val="left"/>
              <w:rPr>
                <w:sz w:val="22"/>
              </w:rPr>
            </w:pPr>
            <w:r>
              <w:rPr>
                <w:rFonts w:hint="eastAsia"/>
                <w:sz w:val="22"/>
              </w:rPr>
              <w:t>有限售股份总数</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rFonts w:hint="eastAsia"/>
                <w:sz w:val="22"/>
              </w:rPr>
              <w:t>其中：控股股东、实际控制人</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董事、监事、高管</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424" w:type="pct"/>
            <w:vMerge w:val="continue"/>
          </w:tcPr>
          <w:p>
            <w:pPr>
              <w:ind w:right="420"/>
              <w:rPr>
                <w:sz w:val="22"/>
              </w:rPr>
            </w:pPr>
          </w:p>
        </w:tc>
        <w:tc>
          <w:tcPr>
            <w:tcW w:w="1822" w:type="pct"/>
          </w:tcPr>
          <w:p>
            <w:pPr>
              <w:jc w:val="left"/>
              <w:rPr>
                <w:sz w:val="22"/>
              </w:rPr>
            </w:pPr>
            <w:r>
              <w:rPr>
                <w:sz w:val="22"/>
              </w:rPr>
              <w:t xml:space="preserve">      </w:t>
            </w:r>
            <w:r>
              <w:rPr>
                <w:rFonts w:hint="eastAsia"/>
                <w:sz w:val="22"/>
              </w:rPr>
              <w:t>核心员工</w:t>
            </w:r>
          </w:p>
        </w:tc>
        <w:tc>
          <w:tcPr>
            <w:tcW w:w="503" w:type="pct"/>
            <w:vAlign w:val="center"/>
          </w:tcPr>
          <w:p>
            <w:pPr>
              <w:jc w:val="right"/>
              <w:rPr>
                <w:sz w:val="22"/>
              </w:rPr>
            </w:pPr>
          </w:p>
        </w:tc>
        <w:tc>
          <w:tcPr>
            <w:tcW w:w="509" w:type="pct"/>
            <w:vAlign w:val="center"/>
          </w:tcPr>
          <w:p>
            <w:pPr>
              <w:jc w:val="right"/>
              <w:rPr>
                <w:sz w:val="22"/>
              </w:rPr>
            </w:pPr>
          </w:p>
        </w:tc>
        <w:tc>
          <w:tcPr>
            <w:tcW w:w="690" w:type="pct"/>
            <w:vAlign w:val="center"/>
          </w:tcPr>
          <w:p>
            <w:pPr>
              <w:jc w:val="right"/>
              <w:rPr>
                <w:sz w:val="22"/>
              </w:rPr>
            </w:pPr>
          </w:p>
        </w:tc>
        <w:tc>
          <w:tcPr>
            <w:tcW w:w="567" w:type="pct"/>
            <w:vAlign w:val="center"/>
          </w:tcPr>
          <w:p>
            <w:pPr>
              <w:jc w:val="right"/>
              <w:rPr>
                <w:sz w:val="22"/>
              </w:rPr>
            </w:pPr>
          </w:p>
        </w:tc>
        <w:tc>
          <w:tcPr>
            <w:tcW w:w="484" w:type="pct"/>
            <w:vAlign w:val="center"/>
          </w:tcPr>
          <w:p>
            <w:pPr>
              <w:jc w:val="right"/>
              <w:rPr>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总股本</w:t>
            </w:r>
          </w:p>
        </w:tc>
        <w:tc>
          <w:tcPr>
            <w:tcW w:w="503" w:type="pct"/>
            <w:vAlign w:val="center"/>
          </w:tcPr>
          <w:p>
            <w:pPr>
              <w:jc w:val="right"/>
              <w:rPr>
                <w:b/>
                <w:sz w:val="22"/>
              </w:rPr>
            </w:pPr>
          </w:p>
        </w:tc>
        <w:tc>
          <w:tcPr>
            <w:tcW w:w="509" w:type="pct"/>
            <w:vAlign w:val="center"/>
          </w:tcPr>
          <w:p>
            <w:pPr>
              <w:jc w:val="center"/>
              <w:rPr>
                <w:b/>
                <w:sz w:val="22"/>
              </w:rPr>
            </w:pPr>
            <w:r>
              <w:rPr>
                <w:rFonts w:hint="eastAsia"/>
                <w:b/>
                <w:sz w:val="22"/>
              </w:rPr>
              <w:t>—</w:t>
            </w:r>
          </w:p>
        </w:tc>
        <w:tc>
          <w:tcPr>
            <w:tcW w:w="690" w:type="pct"/>
            <w:vAlign w:val="center"/>
          </w:tcPr>
          <w:p>
            <w:pPr>
              <w:jc w:val="right"/>
              <w:rPr>
                <w:b/>
                <w:sz w:val="22"/>
              </w:rPr>
            </w:pPr>
          </w:p>
        </w:tc>
        <w:tc>
          <w:tcPr>
            <w:tcW w:w="567" w:type="pct"/>
            <w:vAlign w:val="center"/>
          </w:tcPr>
          <w:p>
            <w:pPr>
              <w:jc w:val="right"/>
              <w:rPr>
                <w:b/>
                <w:sz w:val="22"/>
              </w:rPr>
            </w:pPr>
          </w:p>
        </w:tc>
        <w:tc>
          <w:tcPr>
            <w:tcW w:w="484" w:type="pct"/>
            <w:vAlign w:val="center"/>
          </w:tcPr>
          <w:p>
            <w:pPr>
              <w:jc w:val="center"/>
              <w:rPr>
                <w:b/>
                <w:sz w:val="22"/>
              </w:rPr>
            </w:pPr>
            <w:r>
              <w:rPr>
                <w:rFonts w:hint="eastAsia"/>
                <w:b/>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47" w:type="pct"/>
            <w:gridSpan w:val="2"/>
          </w:tcPr>
          <w:p>
            <w:pPr>
              <w:jc w:val="center"/>
              <w:rPr>
                <w:b/>
                <w:sz w:val="22"/>
              </w:rPr>
            </w:pPr>
            <w:r>
              <w:rPr>
                <w:b/>
                <w:sz w:val="22"/>
              </w:rPr>
              <w:t xml:space="preserve">     </w:t>
            </w:r>
            <w:r>
              <w:rPr>
                <w:rFonts w:hint="eastAsia"/>
                <w:b/>
                <w:sz w:val="22"/>
              </w:rPr>
              <w:t>普通股股东人数</w:t>
            </w:r>
          </w:p>
        </w:tc>
        <w:tc>
          <w:tcPr>
            <w:tcW w:w="2753" w:type="pct"/>
            <w:gridSpan w:val="5"/>
            <w:vAlign w:val="center"/>
          </w:tcPr>
          <w:p>
            <w:pPr>
              <w:jc w:val="center"/>
              <w:rPr>
                <w:b/>
                <w:sz w:val="22"/>
              </w:rPr>
            </w:pPr>
            <w:r>
              <w:rPr>
                <w:rFonts w:hint="eastAsia" w:ascii="Calibri" w:hAnsi="Calibri" w:eastAsia="宋体" w:cs="Times New Roman"/>
                <w:color w:val="FF0000"/>
                <w:sz w:val="22"/>
              </w:rPr>
              <w:t>此项必填</w:t>
            </w:r>
          </w:p>
        </w:tc>
      </w:tr>
    </w:tbl>
    <w:p>
      <w:pPr>
        <w:rPr>
          <w:rFonts w:ascii="Calibri" w:hAnsi="Calibri" w:eastAsia="宋体" w:cs="Times New Roman"/>
          <w:i/>
          <w:color w:val="FF0000"/>
        </w:rPr>
      </w:pPr>
      <w:r>
        <w:rPr>
          <w:rFonts w:hint="eastAsia" w:ascii="Calibri" w:hAnsi="Calibri" w:eastAsia="宋体" w:cs="Times New Roman"/>
          <w:i/>
          <w:color w:val="FF0000"/>
        </w:rPr>
        <w:t>注</w:t>
      </w:r>
      <w:r>
        <w:rPr>
          <w:rFonts w:ascii="Calibri" w:hAnsi="Calibri" w:eastAsia="宋体" w:cs="Times New Roman"/>
          <w:i/>
          <w:color w:val="FF0000"/>
        </w:rPr>
        <w:t>：</w:t>
      </w:r>
      <w:r>
        <w:rPr>
          <w:rFonts w:hint="eastAsia" w:ascii="Calibri" w:hAnsi="Calibri" w:eastAsia="宋体" w:cs="Times New Roman"/>
          <w:i/>
          <w:color w:val="FF0000"/>
        </w:rPr>
        <w:t>请按照本年6月3</w:t>
      </w:r>
      <w:r>
        <w:rPr>
          <w:rFonts w:ascii="Calibri" w:hAnsi="Calibri" w:eastAsia="宋体" w:cs="Times New Roman"/>
          <w:i/>
          <w:color w:val="FF0000"/>
        </w:rPr>
        <w:t>0日的</w:t>
      </w:r>
      <w:r>
        <w:rPr>
          <w:rFonts w:hint="eastAsia" w:ascii="Calibri" w:hAnsi="Calibri" w:eastAsia="宋体" w:cs="Times New Roman"/>
          <w:i/>
          <w:color w:val="FF0000"/>
        </w:rPr>
        <w:t>股本结构填列本期期初股本结构情况。</w:t>
      </w:r>
    </w:p>
    <w:p>
      <w:pPr>
        <w:rPr>
          <w:rFonts w:asciiTheme="minorEastAsia" w:hAnsiTheme="minorEastAsia"/>
          <w:b/>
          <w:color w:val="000000" w:themeColor="text1"/>
          <w:szCs w:val="44"/>
          <w14:textFill>
            <w14:solidFill>
              <w14:schemeClr w14:val="tx1"/>
            </w14:solidFill>
          </w14:textFill>
        </w:rPr>
      </w:pPr>
      <w:r>
        <w:rPr>
          <w:rFonts w:hint="eastAsia"/>
        </w:rPr>
        <w:t xml:space="preserve">                      </w:t>
      </w:r>
      <w:r>
        <w:t xml:space="preserve">                                               </w:t>
      </w:r>
    </w:p>
    <w:p>
      <w:pPr>
        <w:ind w:left="6720" w:firstLine="420"/>
        <w:jc w:val="right"/>
      </w:pPr>
      <w:r>
        <w:rPr>
          <w:rFonts w:hint="eastAsia"/>
        </w:rPr>
        <w:t>单位：股</w:t>
      </w:r>
    </w:p>
    <w:tbl>
      <w:tblPr>
        <w:tblStyle w:val="46"/>
        <w:tblW w:w="5889" w:type="pct"/>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fixed"/>
        <w:tblCellMar>
          <w:top w:w="0" w:type="dxa"/>
          <w:left w:w="108" w:type="dxa"/>
          <w:bottom w:w="0" w:type="dxa"/>
          <w:right w:w="108" w:type="dxa"/>
        </w:tblCellMar>
      </w:tblPr>
      <w:tblGrid>
        <w:gridCol w:w="526"/>
        <w:gridCol w:w="769"/>
        <w:gridCol w:w="1015"/>
        <w:gridCol w:w="869"/>
        <w:gridCol w:w="577"/>
        <w:gridCol w:w="1013"/>
        <w:gridCol w:w="869"/>
        <w:gridCol w:w="1015"/>
        <w:gridCol w:w="1015"/>
        <w:gridCol w:w="1165"/>
        <w:gridCol w:w="115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9" w:hRule="atLeast"/>
          <w:jc w:val="center"/>
        </w:trPr>
        <w:tc>
          <w:tcPr>
            <w:tcW w:w="5000" w:type="pct"/>
            <w:gridSpan w:val="11"/>
            <w:shd w:val="clear" w:color="auto" w:fill="D4D4D4" w:themeFill="accent3" w:themeFillTint="66"/>
            <w:vAlign w:val="center"/>
          </w:tcPr>
          <w:p>
            <w:pPr>
              <w:jc w:val="center"/>
              <w:rPr>
                <w:rFonts w:asciiTheme="minorEastAsia" w:hAnsiTheme="minorEastAsia"/>
                <w:b/>
                <w:sz w:val="22"/>
              </w:rPr>
            </w:pPr>
            <w:r>
              <w:rPr>
                <w:rFonts w:hint="eastAsia" w:asciiTheme="minorEastAsia" w:hAnsiTheme="minorEastAsia"/>
                <w:b/>
                <w:sz w:val="22"/>
              </w:rPr>
              <w:t>持股5%以上的股东或前十名股东情况</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379" w:hRule="atLeast"/>
          <w:jc w:val="center"/>
        </w:trPr>
        <w:tc>
          <w:tcPr>
            <w:tcW w:w="264"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序号</w:t>
            </w:r>
          </w:p>
        </w:tc>
        <w:tc>
          <w:tcPr>
            <w:tcW w:w="385"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股东名称</w:t>
            </w:r>
          </w:p>
        </w:tc>
        <w:tc>
          <w:tcPr>
            <w:tcW w:w="508" w:type="pct"/>
            <w:shd w:val="clear" w:color="auto" w:fill="D4D4D4" w:themeFill="accent3" w:themeFillTint="66"/>
            <w:vAlign w:val="center"/>
          </w:tcPr>
          <w:p>
            <w:pPr>
              <w:jc w:val="center"/>
              <w:rPr>
                <w:b/>
                <w:sz w:val="22"/>
              </w:rPr>
            </w:pPr>
            <w:r>
              <w:rPr>
                <w:rFonts w:hint="eastAsia"/>
                <w:b/>
                <w:sz w:val="22"/>
              </w:rPr>
              <w:t>股东性质</w:t>
            </w:r>
          </w:p>
        </w:tc>
        <w:tc>
          <w:tcPr>
            <w:tcW w:w="435"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期初</w:t>
            </w:r>
            <w:r>
              <w:rPr>
                <w:rFonts w:hint="eastAsia" w:asciiTheme="minorEastAsia" w:hAnsiTheme="minorEastAsia"/>
                <w:b/>
                <w:sz w:val="22"/>
              </w:rPr>
              <w:t>持股数</w:t>
            </w:r>
          </w:p>
        </w:tc>
        <w:tc>
          <w:tcPr>
            <w:tcW w:w="289"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持股变动</w:t>
            </w:r>
          </w:p>
        </w:tc>
        <w:tc>
          <w:tcPr>
            <w:tcW w:w="507"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b/>
                <w:sz w:val="22"/>
              </w:rPr>
              <w:t>期末</w:t>
            </w:r>
            <w:r>
              <w:rPr>
                <w:rFonts w:hint="eastAsia" w:asciiTheme="minorEastAsia" w:hAnsiTheme="minorEastAsia"/>
                <w:b/>
                <w:sz w:val="22"/>
              </w:rPr>
              <w:t>持股数</w:t>
            </w:r>
          </w:p>
        </w:tc>
        <w:tc>
          <w:tcPr>
            <w:tcW w:w="435" w:type="pct"/>
            <w:shd w:val="clear" w:color="auto" w:fill="D4D4D4" w:themeFill="accent3" w:themeFillTint="66"/>
            <w:vAlign w:val="center"/>
          </w:tcPr>
          <w:p>
            <w:pPr>
              <w:jc w:val="center"/>
              <w:rPr>
                <w:rFonts w:asciiTheme="minorEastAsia" w:hAnsiTheme="minorEastAsia"/>
                <w:b/>
                <w:sz w:val="22"/>
              </w:rPr>
            </w:pPr>
            <w:r>
              <w:rPr>
                <w:rFonts w:hint="eastAsia"/>
                <w:b/>
                <w:sz w:val="22"/>
              </w:rPr>
              <w:t>期末</w:t>
            </w:r>
            <w:r>
              <w:rPr>
                <w:rFonts w:hint="eastAsia" w:asciiTheme="minorEastAsia" w:hAnsiTheme="minorEastAsia"/>
                <w:b/>
                <w:sz w:val="22"/>
              </w:rPr>
              <w:t>持</w:t>
            </w:r>
          </w:p>
          <w:p>
            <w:pPr>
              <w:spacing w:line="360" w:lineRule="auto"/>
              <w:jc w:val="center"/>
              <w:rPr>
                <w:rFonts w:asciiTheme="minorEastAsia" w:hAnsiTheme="minorEastAsia"/>
                <w:b/>
                <w:sz w:val="22"/>
              </w:rPr>
            </w:pPr>
            <w:r>
              <w:rPr>
                <w:rFonts w:hint="eastAsia" w:asciiTheme="minorEastAsia" w:hAnsiTheme="minorEastAsia"/>
                <w:b/>
                <w:sz w:val="22"/>
              </w:rPr>
              <w:t>股比例%</w:t>
            </w:r>
          </w:p>
        </w:tc>
        <w:tc>
          <w:tcPr>
            <w:tcW w:w="508" w:type="pct"/>
            <w:shd w:val="clear" w:color="auto" w:fill="D4D4D4"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限售股份数量</w:t>
            </w:r>
          </w:p>
        </w:tc>
        <w:tc>
          <w:tcPr>
            <w:tcW w:w="508" w:type="pct"/>
            <w:shd w:val="clear" w:color="auto" w:fill="D4D4D4" w:themeFill="accent3" w:themeFillTint="66"/>
            <w:vAlign w:val="center"/>
          </w:tcPr>
          <w:p>
            <w:pPr>
              <w:jc w:val="center"/>
              <w:rPr>
                <w:b/>
                <w:sz w:val="22"/>
              </w:rPr>
            </w:pPr>
            <w:r>
              <w:rPr>
                <w:rFonts w:hint="eastAsia" w:asciiTheme="minorEastAsia" w:hAnsiTheme="minorEastAsia"/>
                <w:b/>
                <w:sz w:val="22"/>
              </w:rPr>
              <w:t>期末</w:t>
            </w:r>
            <w:r>
              <w:rPr>
                <w:rFonts w:asciiTheme="minorEastAsia" w:hAnsiTheme="minorEastAsia"/>
                <w:b/>
                <w:sz w:val="22"/>
              </w:rPr>
              <w:t>持有</w:t>
            </w:r>
            <w:r>
              <w:rPr>
                <w:rFonts w:hint="eastAsia" w:asciiTheme="minorEastAsia" w:hAnsiTheme="minorEastAsia"/>
                <w:b/>
                <w:sz w:val="22"/>
              </w:rPr>
              <w:t>无限售股份数量</w:t>
            </w:r>
          </w:p>
        </w:tc>
        <w:tc>
          <w:tcPr>
            <w:tcW w:w="583" w:type="pct"/>
            <w:shd w:val="clear" w:color="auto" w:fill="D4D4D4" w:themeFill="accent3" w:themeFillTint="66"/>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期末持有的质押股份数量</w:t>
            </w:r>
          </w:p>
        </w:tc>
        <w:tc>
          <w:tcPr>
            <w:tcW w:w="580" w:type="pct"/>
            <w:shd w:val="clear" w:color="auto" w:fill="D4D4D4" w:themeFill="accent3" w:themeFillTint="66"/>
            <w:vAlign w:val="center"/>
          </w:tcPr>
          <w:p>
            <w:pPr>
              <w:jc w:val="center"/>
              <w:rPr>
                <w:rFonts w:asciiTheme="minorEastAsia" w:hAnsiTheme="minorEastAsia"/>
                <w:b/>
                <w:sz w:val="22"/>
              </w:rPr>
            </w:pPr>
            <w:r>
              <w:rPr>
                <w:rFonts w:hint="eastAsia" w:asciiTheme="minorEastAsia" w:hAnsiTheme="minorEastAsia"/>
                <w:b/>
                <w:sz w:val="22"/>
              </w:rPr>
              <w:t>期末持有的司法冻结股份数量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9" w:hRule="atLeast"/>
          <w:jc w:val="center"/>
        </w:trPr>
        <w:tc>
          <w:tcPr>
            <w:tcW w:w="264" w:type="pct"/>
          </w:tcPr>
          <w:p>
            <w:pPr>
              <w:jc w:val="center"/>
              <w:rPr>
                <w:rFonts w:asciiTheme="minorEastAsia" w:hAnsiTheme="minorEastAsia"/>
                <w:b/>
                <w:sz w:val="22"/>
              </w:rPr>
            </w:pPr>
            <w:r>
              <w:rPr>
                <w:rFonts w:asciiTheme="minorEastAsia" w:hAnsiTheme="minorEastAsia"/>
                <w:sz w:val="22"/>
              </w:rPr>
              <w:t>1</w:t>
            </w:r>
          </w:p>
        </w:tc>
        <w:tc>
          <w:tcPr>
            <w:tcW w:w="385" w:type="pct"/>
            <w:vAlign w:val="center"/>
          </w:tcPr>
          <w:p>
            <w:pPr>
              <w:jc w:val="center"/>
              <w:rPr>
                <w:rFonts w:asciiTheme="minorEastAsia" w:hAnsiTheme="minorEastAsia"/>
                <w:b/>
                <w:sz w:val="22"/>
              </w:rPr>
            </w:pPr>
          </w:p>
        </w:tc>
        <w:tc>
          <w:tcPr>
            <w:tcW w:w="508" w:type="pct"/>
          </w:tcPr>
          <w:p>
            <w:pPr>
              <w:jc w:val="center"/>
              <w:rPr>
                <w:rFonts w:asciiTheme="minorEastAsia" w:hAnsiTheme="minorEastAsia"/>
                <w:sz w:val="22"/>
              </w:rPr>
            </w:pPr>
            <w:r>
              <w:rPr>
                <w:rFonts w:hint="eastAsia" w:asciiTheme="minorEastAsia" w:hAnsiTheme="minorEastAsia"/>
                <w:color w:val="FF0000"/>
                <w:sz w:val="22"/>
              </w:rPr>
              <w:t>下拉选项（单选）：国有法人、境内非国有法人、境内自然人、境外法人、境外自然人、其他</w:t>
            </w: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580" w:type="pct"/>
          </w:tcPr>
          <w:p>
            <w:pPr>
              <w:jc w:val="center"/>
              <w:rPr>
                <w:rFonts w:asciiTheme="minorEastAsia" w:hAnsiTheme="minorEastAsia"/>
                <w:color w:val="FF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61" w:hRule="atLeast"/>
          <w:jc w:val="center"/>
        </w:trPr>
        <w:tc>
          <w:tcPr>
            <w:tcW w:w="264" w:type="pct"/>
          </w:tcPr>
          <w:p>
            <w:pPr>
              <w:jc w:val="center"/>
              <w:rPr>
                <w:rFonts w:asciiTheme="minorEastAsia" w:hAnsiTheme="minorEastAsia"/>
                <w:b/>
                <w:sz w:val="22"/>
              </w:rPr>
            </w:pPr>
            <w:r>
              <w:rPr>
                <w:rFonts w:asciiTheme="minorEastAsia" w:hAnsiTheme="minorEastAsia"/>
                <w:sz w:val="22"/>
              </w:rPr>
              <w:t>2</w:t>
            </w:r>
          </w:p>
        </w:tc>
        <w:tc>
          <w:tcPr>
            <w:tcW w:w="38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36" w:hRule="atLeast"/>
          <w:jc w:val="center"/>
        </w:trPr>
        <w:tc>
          <w:tcPr>
            <w:tcW w:w="264" w:type="pct"/>
          </w:tcPr>
          <w:p>
            <w:pPr>
              <w:jc w:val="center"/>
              <w:rPr>
                <w:rFonts w:asciiTheme="minorEastAsia" w:hAnsiTheme="minorEastAsia"/>
                <w:b/>
                <w:sz w:val="22"/>
              </w:rPr>
            </w:pPr>
            <w:r>
              <w:rPr>
                <w:rFonts w:asciiTheme="minorEastAsia" w:hAnsiTheme="minorEastAsia"/>
                <w:sz w:val="22"/>
              </w:rPr>
              <w:t>3</w:t>
            </w:r>
          </w:p>
        </w:tc>
        <w:tc>
          <w:tcPr>
            <w:tcW w:w="38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15" w:hRule="atLeast"/>
          <w:jc w:val="center"/>
        </w:trPr>
        <w:tc>
          <w:tcPr>
            <w:tcW w:w="264" w:type="pct"/>
          </w:tcPr>
          <w:p>
            <w:pPr>
              <w:jc w:val="center"/>
              <w:rPr>
                <w:rFonts w:asciiTheme="minorEastAsia" w:hAnsiTheme="minorEastAsia"/>
                <w:b/>
                <w:sz w:val="22"/>
              </w:rPr>
            </w:pPr>
            <w:r>
              <w:rPr>
                <w:rFonts w:asciiTheme="minorEastAsia" w:hAnsiTheme="minorEastAsia"/>
                <w:sz w:val="22"/>
              </w:rPr>
              <w:t>4</w:t>
            </w:r>
          </w:p>
        </w:tc>
        <w:tc>
          <w:tcPr>
            <w:tcW w:w="38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1" w:hRule="atLeast"/>
          <w:jc w:val="center"/>
        </w:trPr>
        <w:tc>
          <w:tcPr>
            <w:tcW w:w="264" w:type="pct"/>
          </w:tcPr>
          <w:p>
            <w:pPr>
              <w:jc w:val="center"/>
              <w:rPr>
                <w:rFonts w:asciiTheme="minorEastAsia" w:hAnsiTheme="minorEastAsia"/>
                <w:b/>
                <w:sz w:val="22"/>
              </w:rPr>
            </w:pPr>
            <w:r>
              <w:rPr>
                <w:rFonts w:asciiTheme="minorEastAsia" w:hAnsiTheme="minorEastAsia"/>
                <w:sz w:val="22"/>
              </w:rPr>
              <w:t>5</w:t>
            </w:r>
          </w:p>
        </w:tc>
        <w:tc>
          <w:tcPr>
            <w:tcW w:w="38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13" w:hRule="atLeast"/>
          <w:jc w:val="center"/>
        </w:trPr>
        <w:tc>
          <w:tcPr>
            <w:tcW w:w="264" w:type="pct"/>
          </w:tcPr>
          <w:p>
            <w:pPr>
              <w:jc w:val="center"/>
              <w:rPr>
                <w:rFonts w:asciiTheme="minorEastAsia" w:hAnsiTheme="minorEastAsia"/>
                <w:b/>
                <w:sz w:val="22"/>
              </w:rPr>
            </w:pPr>
            <w:r>
              <w:rPr>
                <w:rFonts w:asciiTheme="minorEastAsia" w:hAnsiTheme="minorEastAsia"/>
                <w:sz w:val="22"/>
              </w:rPr>
              <w:t>6</w:t>
            </w:r>
          </w:p>
        </w:tc>
        <w:tc>
          <w:tcPr>
            <w:tcW w:w="38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8" w:hRule="atLeast"/>
          <w:jc w:val="center"/>
        </w:trPr>
        <w:tc>
          <w:tcPr>
            <w:tcW w:w="264" w:type="pct"/>
          </w:tcPr>
          <w:p>
            <w:pPr>
              <w:jc w:val="center"/>
              <w:rPr>
                <w:rFonts w:asciiTheme="minorEastAsia" w:hAnsiTheme="minorEastAsia"/>
                <w:b/>
                <w:sz w:val="22"/>
              </w:rPr>
            </w:pPr>
            <w:r>
              <w:rPr>
                <w:rFonts w:asciiTheme="minorEastAsia" w:hAnsiTheme="minorEastAsia"/>
                <w:sz w:val="22"/>
              </w:rPr>
              <w:t>7</w:t>
            </w:r>
          </w:p>
        </w:tc>
        <w:tc>
          <w:tcPr>
            <w:tcW w:w="38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59" w:hRule="atLeast"/>
          <w:jc w:val="center"/>
        </w:trPr>
        <w:tc>
          <w:tcPr>
            <w:tcW w:w="264" w:type="pct"/>
          </w:tcPr>
          <w:p>
            <w:pPr>
              <w:jc w:val="center"/>
              <w:rPr>
                <w:rFonts w:asciiTheme="minorEastAsia" w:hAnsiTheme="minorEastAsia"/>
                <w:b/>
                <w:sz w:val="22"/>
              </w:rPr>
            </w:pPr>
            <w:r>
              <w:rPr>
                <w:rFonts w:asciiTheme="minorEastAsia" w:hAnsiTheme="minorEastAsia"/>
                <w:sz w:val="22"/>
              </w:rPr>
              <w:t>8</w:t>
            </w:r>
          </w:p>
        </w:tc>
        <w:tc>
          <w:tcPr>
            <w:tcW w:w="38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22" w:hRule="atLeast"/>
          <w:jc w:val="center"/>
        </w:trPr>
        <w:tc>
          <w:tcPr>
            <w:tcW w:w="264" w:type="pct"/>
          </w:tcPr>
          <w:p>
            <w:pPr>
              <w:jc w:val="center"/>
              <w:rPr>
                <w:rFonts w:asciiTheme="minorEastAsia" w:hAnsiTheme="minorEastAsia"/>
                <w:b/>
                <w:sz w:val="22"/>
              </w:rPr>
            </w:pPr>
            <w:r>
              <w:rPr>
                <w:rFonts w:asciiTheme="minorEastAsia" w:hAnsiTheme="minorEastAsia"/>
                <w:sz w:val="22"/>
              </w:rPr>
              <w:t>9</w:t>
            </w:r>
          </w:p>
        </w:tc>
        <w:tc>
          <w:tcPr>
            <w:tcW w:w="38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4" w:type="pct"/>
          </w:tcPr>
          <w:p>
            <w:pPr>
              <w:jc w:val="center"/>
              <w:rPr>
                <w:rFonts w:asciiTheme="minorEastAsia" w:hAnsiTheme="minorEastAsia"/>
                <w:b/>
                <w:sz w:val="22"/>
              </w:rPr>
            </w:pPr>
            <w:r>
              <w:rPr>
                <w:rFonts w:asciiTheme="minorEastAsia" w:hAnsiTheme="minorEastAsia"/>
                <w:sz w:val="22"/>
              </w:rPr>
              <w:t>10</w:t>
            </w:r>
          </w:p>
        </w:tc>
        <w:tc>
          <w:tcPr>
            <w:tcW w:w="38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23" w:hRule="atLeast"/>
          <w:jc w:val="center"/>
        </w:trPr>
        <w:tc>
          <w:tcPr>
            <w:tcW w:w="264" w:type="pct"/>
          </w:tcPr>
          <w:p>
            <w:pPr>
              <w:jc w:val="center"/>
              <w:rPr>
                <w:rFonts w:asciiTheme="minorEastAsia" w:hAnsiTheme="minorEastAsia"/>
                <w:sz w:val="22"/>
              </w:rPr>
            </w:pPr>
            <w:r>
              <w:rPr>
                <w:rFonts w:hint="eastAsia" w:asciiTheme="minorEastAsia" w:hAnsiTheme="minorEastAsia"/>
                <w:sz w:val="22"/>
              </w:rPr>
              <w:t>（自动添行）</w:t>
            </w:r>
          </w:p>
        </w:tc>
        <w:tc>
          <w:tcPr>
            <w:tcW w:w="38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1157" w:type="pct"/>
            <w:gridSpan w:val="3"/>
            <w:vAlign w:val="center"/>
          </w:tcPr>
          <w:p>
            <w:pPr>
              <w:jc w:val="center"/>
              <w:rPr>
                <w:rFonts w:asciiTheme="minorEastAsia" w:hAnsiTheme="minorEastAsia"/>
                <w:b/>
                <w:sz w:val="22"/>
              </w:rPr>
            </w:pPr>
            <w:r>
              <w:rPr>
                <w:rFonts w:hint="eastAsia" w:asciiTheme="minorEastAsia" w:hAnsiTheme="minorEastAsia"/>
                <w:b/>
                <w:sz w:val="22"/>
              </w:rPr>
              <w:t>合计</w:t>
            </w:r>
          </w:p>
        </w:tc>
        <w:tc>
          <w:tcPr>
            <w:tcW w:w="435" w:type="pct"/>
            <w:vAlign w:val="center"/>
          </w:tcPr>
          <w:p>
            <w:pPr>
              <w:jc w:val="center"/>
              <w:rPr>
                <w:rFonts w:asciiTheme="minorEastAsia" w:hAnsiTheme="minorEastAsia"/>
                <w:b/>
                <w:sz w:val="22"/>
              </w:rPr>
            </w:pPr>
          </w:p>
        </w:tc>
        <w:tc>
          <w:tcPr>
            <w:tcW w:w="289" w:type="pct"/>
            <w:vAlign w:val="center"/>
          </w:tcPr>
          <w:p>
            <w:pPr>
              <w:jc w:val="center"/>
              <w:rPr>
                <w:rFonts w:asciiTheme="minorEastAsia" w:hAnsiTheme="minorEastAsia"/>
                <w:b/>
                <w:sz w:val="22"/>
              </w:rPr>
            </w:pPr>
          </w:p>
        </w:tc>
        <w:tc>
          <w:tcPr>
            <w:tcW w:w="507" w:type="pct"/>
            <w:vAlign w:val="center"/>
          </w:tcPr>
          <w:p>
            <w:pPr>
              <w:jc w:val="center"/>
              <w:rPr>
                <w:rFonts w:asciiTheme="minorEastAsia" w:hAnsiTheme="minorEastAsia"/>
                <w:b/>
                <w:sz w:val="22"/>
              </w:rPr>
            </w:pPr>
          </w:p>
        </w:tc>
        <w:tc>
          <w:tcPr>
            <w:tcW w:w="435" w:type="pct"/>
            <w:vAlign w:val="center"/>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08" w:type="pct"/>
          </w:tcPr>
          <w:p>
            <w:pPr>
              <w:jc w:val="center"/>
              <w:rPr>
                <w:rFonts w:asciiTheme="minorEastAsia" w:hAnsiTheme="minorEastAsia"/>
                <w:b/>
                <w:sz w:val="22"/>
              </w:rPr>
            </w:pPr>
          </w:p>
        </w:tc>
        <w:tc>
          <w:tcPr>
            <w:tcW w:w="583" w:type="pct"/>
            <w:vAlign w:val="center"/>
          </w:tcPr>
          <w:p>
            <w:pPr>
              <w:jc w:val="center"/>
              <w:rPr>
                <w:rFonts w:asciiTheme="minorEastAsia" w:hAnsiTheme="minorEastAsia"/>
                <w:b/>
                <w:sz w:val="22"/>
              </w:rPr>
            </w:pPr>
          </w:p>
        </w:tc>
        <w:tc>
          <w:tcPr>
            <w:tcW w:w="580" w:type="pct"/>
          </w:tcPr>
          <w:p>
            <w:pPr>
              <w:jc w:val="center"/>
              <w:rPr>
                <w:rFonts w:asciiTheme="minorEastAsia" w:hAnsiTheme="minorEastAsia"/>
                <w:b/>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59" w:hRule="atLeast"/>
          <w:jc w:val="center"/>
        </w:trPr>
        <w:tc>
          <w:tcPr>
            <w:tcW w:w="5000" w:type="pct"/>
            <w:gridSpan w:val="11"/>
            <w:vAlign w:val="center"/>
          </w:tcPr>
          <w:p>
            <w:pPr>
              <w:rPr>
                <w:color w:val="000000" w:themeColor="text1"/>
                <w:sz w:val="22"/>
                <w14:textFill>
                  <w14:solidFill>
                    <w14:schemeClr w14:val="tx1"/>
                  </w14:solidFill>
                </w14:textFill>
              </w:rPr>
            </w:pPr>
            <w:r>
              <w:rPr>
                <w:rFonts w:hint="eastAsia" w:asciiTheme="minorEastAsia" w:hAnsiTheme="minorEastAsia"/>
                <w:sz w:val="22"/>
              </w:rPr>
              <w:t>持股5%以上的股东或前</w:t>
            </w:r>
            <w:r>
              <w:rPr>
                <w:rFonts w:asciiTheme="minorEastAsia" w:hAnsiTheme="minorEastAsia"/>
                <w:sz w:val="22"/>
              </w:rPr>
              <w:t>十名</w:t>
            </w:r>
            <w:r>
              <w:rPr>
                <w:rFonts w:hint="eastAsia"/>
                <w:color w:val="000000" w:themeColor="text1"/>
                <w:sz w:val="22"/>
                <w14:textFill>
                  <w14:solidFill>
                    <w14:schemeClr w14:val="tx1"/>
                  </w14:solidFill>
                </w14:textFill>
              </w:rPr>
              <w:t>股东间相互关系说明：</w:t>
            </w:r>
          </w:p>
          <w:p>
            <w:pPr>
              <w:rPr>
                <w:rFonts w:asciiTheme="minorEastAsia" w:hAnsiTheme="minorEastAsia"/>
                <w:sz w:val="22"/>
              </w:rPr>
            </w:pPr>
            <w:r>
              <w:rPr>
                <w:rFonts w:hint="eastAsia" w:asciiTheme="minorEastAsia" w:hAnsiTheme="minorEastAsia"/>
                <w:sz w:val="22"/>
              </w:rPr>
              <w:t>股东名称</w:t>
            </w:r>
            <w:r>
              <w:rPr>
                <w:rFonts w:asciiTheme="minorEastAsia" w:hAnsiTheme="minorEastAsia"/>
                <w:sz w:val="22"/>
              </w:rPr>
              <w:t>A，股东名称B：两者间的关系；</w:t>
            </w:r>
          </w:p>
          <w:p>
            <w:pPr>
              <w:rPr>
                <w:rFonts w:asciiTheme="minorEastAsia" w:hAnsiTheme="minorEastAsia"/>
                <w:b/>
                <w:sz w:val="22"/>
              </w:rPr>
            </w:pPr>
            <w:r>
              <w:rPr>
                <w:rFonts w:hint="eastAsia" w:asciiTheme="minorEastAsia" w:hAnsiTheme="minorEastAsia"/>
                <w:sz w:val="22"/>
              </w:rPr>
              <w:t>股东名称</w:t>
            </w:r>
            <w:r>
              <w:rPr>
                <w:rFonts w:asciiTheme="minorEastAsia" w:hAnsiTheme="minorEastAsia"/>
                <w:sz w:val="22"/>
              </w:rPr>
              <w:t>C，股东名称D：两者间的关系。</w:t>
            </w:r>
          </w:p>
        </w:tc>
      </w:tr>
    </w:tbl>
    <w:p>
      <w:pPr>
        <w:rPr>
          <w:i/>
          <w:color w:val="FF0000"/>
        </w:rPr>
      </w:pPr>
    </w:p>
    <w:p>
      <w:pPr>
        <w:rPr>
          <w:i/>
          <w:color w:val="FF0000"/>
        </w:rPr>
      </w:pPr>
      <w:r>
        <w:rPr>
          <w:rFonts w:hint="eastAsia"/>
          <w:i/>
          <w:color w:val="FF0000"/>
        </w:rPr>
        <w:t>注：</w:t>
      </w:r>
      <w:r>
        <w:rPr>
          <w:i/>
          <w:color w:val="FF0000"/>
        </w:rPr>
        <w:t>如持股 5% 以上的股东少于十人，则应当列出至少前十名股东的持股情况。</w:t>
      </w:r>
    </w:p>
    <w:p>
      <w:pPr>
        <w:rPr>
          <w:i/>
          <w:color w:val="FF0000"/>
        </w:rPr>
      </w:pPr>
      <w:r>
        <w:rPr>
          <w:rFonts w:hint="eastAsia"/>
          <w:i/>
          <w:color w:val="FF0000"/>
        </w:rPr>
        <w:t>每一组股东间相互关系</w:t>
      </w:r>
      <w:r>
        <w:rPr>
          <w:i/>
          <w:color w:val="FF0000"/>
        </w:rPr>
        <w:t>说明应该每段独立分开</w:t>
      </w:r>
      <w:r>
        <w:rPr>
          <w:rFonts w:hint="eastAsia"/>
          <w:i/>
          <w:color w:val="FF0000"/>
        </w:rPr>
        <w:t>（分段）。</w:t>
      </w:r>
    </w:p>
    <w:p>
      <w:pPr>
        <w:rPr>
          <w:i/>
          <w:color w:val="FF0000"/>
        </w:rPr>
      </w:pPr>
    </w:p>
    <w:p>
      <w:pPr>
        <w:widowControl/>
        <w:jc w:val="left"/>
        <w:rPr>
          <w:i/>
          <w:color w:val="FF0000"/>
        </w:rPr>
      </w:pPr>
      <w:r>
        <w:rPr>
          <w:i/>
          <w:color w:val="FF0000"/>
        </w:rPr>
        <w:br w:type="page"/>
      </w:r>
    </w:p>
    <w:p>
      <w:pPr>
        <w:ind w:left="-708" w:leftChars="-337" w:firstLine="441" w:firstLineChars="200"/>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四、存续至本期的优先股股票相关情况</w:t>
      </w:r>
    </w:p>
    <w:p>
      <w:pPr>
        <w:rPr>
          <w:rFonts w:ascii="微软雅黑" w:hAnsi="微软雅黑" w:eastAsia="微软雅黑"/>
          <w:b/>
          <w:color w:val="000000" w:themeColor="text1"/>
          <w:sz w:val="22"/>
          <w:szCs w:val="44"/>
          <w14:textFill>
            <w14:solidFill>
              <w14:schemeClr w14:val="tx1"/>
            </w14:solidFill>
          </w14:textFill>
        </w:rPr>
      </w:pPr>
      <w:r>
        <w:rPr>
          <w:rFonts w:hint="eastAsia"/>
        </w:rPr>
        <w:t xml:space="preserve">□  适用  </w:t>
      </w:r>
      <w:r>
        <w:t xml:space="preserve">   </w:t>
      </w:r>
      <w:r>
        <w:rPr>
          <w:rFonts w:hint="eastAsia"/>
        </w:rPr>
        <w:t>□  不适用</w:t>
      </w:r>
    </w:p>
    <w:p>
      <w:pPr>
        <w:jc w:val="right"/>
        <w:rPr>
          <w:rFonts w:asciiTheme="minorEastAsia" w:hAnsiTheme="minorEastAsia"/>
          <w:szCs w:val="21"/>
        </w:rPr>
      </w:pPr>
      <w:r>
        <w:rPr>
          <w:rFonts w:hint="eastAsia" w:ascii="微软雅黑" w:hAnsi="微软雅黑" w:eastAsia="微软雅黑"/>
          <w:b/>
          <w:color w:val="000000" w:themeColor="text1"/>
          <w:sz w:val="22"/>
          <w:szCs w:val="44"/>
          <w14:textFill>
            <w14:solidFill>
              <w14:schemeClr w14:val="tx1"/>
            </w14:solidFill>
          </w14:textFill>
        </w:rPr>
        <w:t xml:space="preserve"> </w:t>
      </w:r>
      <w:r>
        <w:rPr>
          <w:rFonts w:ascii="微软雅黑" w:hAnsi="微软雅黑" w:eastAsia="微软雅黑"/>
          <w:b/>
          <w:color w:val="000000" w:themeColor="text1"/>
          <w:sz w:val="22"/>
          <w:szCs w:val="44"/>
          <w14:textFill>
            <w14:solidFill>
              <w14:schemeClr w14:val="tx1"/>
            </w14:solidFill>
          </w14:textFill>
        </w:rPr>
        <w:t xml:space="preserve">                                           </w:t>
      </w:r>
      <w:r>
        <w:rPr>
          <w:rFonts w:hint="eastAsia" w:asciiTheme="minorEastAsia" w:hAnsiTheme="minorEastAsia"/>
          <w:szCs w:val="21"/>
        </w:rPr>
        <w:t>单位</w:t>
      </w:r>
      <w:r>
        <w:rPr>
          <w:rFonts w:asciiTheme="minorEastAsia" w:hAnsiTheme="minorEastAsia"/>
          <w:szCs w:val="21"/>
        </w:rPr>
        <w:t>：股</w:t>
      </w:r>
    </w:p>
    <w:tbl>
      <w:tblPr>
        <w:tblStyle w:val="47"/>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410"/>
        <w:gridCol w:w="2409"/>
        <w:gridCol w:w="2410"/>
        <w:gridCol w:w="241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项目</w:t>
            </w:r>
          </w:p>
        </w:tc>
        <w:tc>
          <w:tcPr>
            <w:tcW w:w="2409"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 xml:space="preserve"> 期初股份数量</w:t>
            </w:r>
          </w:p>
        </w:tc>
        <w:tc>
          <w:tcPr>
            <w:tcW w:w="2410"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 xml:space="preserve">  数量变动</w:t>
            </w:r>
          </w:p>
        </w:tc>
        <w:tc>
          <w:tcPr>
            <w:tcW w:w="2410" w:type="dxa"/>
            <w:shd w:val="pct10" w:color="auto" w:fill="auto"/>
            <w:vAlign w:val="center"/>
          </w:tcPr>
          <w:p>
            <w:pPr>
              <w:jc w:val="center"/>
              <w:rPr>
                <w:rFonts w:asciiTheme="minorEastAsia" w:hAnsiTheme="minorEastAsia"/>
                <w:b/>
                <w:sz w:val="22"/>
              </w:rPr>
            </w:pPr>
            <w:r>
              <w:rPr>
                <w:rFonts w:hint="eastAsia" w:asciiTheme="minorEastAsia" w:hAnsiTheme="minorEastAsia"/>
                <w:b/>
                <w:sz w:val="22"/>
              </w:rPr>
              <w:t>期末</w:t>
            </w:r>
            <w:r>
              <w:rPr>
                <w:rFonts w:asciiTheme="minorEastAsia" w:hAnsiTheme="minorEastAsia"/>
                <w:b/>
                <w:sz w:val="22"/>
              </w:rPr>
              <w:t>股份数量</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tcPr>
          <w:p>
            <w:pPr>
              <w:ind w:right="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计入权益的</w:t>
            </w:r>
            <w:r>
              <w:rPr>
                <w:color w:val="000000" w:themeColor="text1"/>
                <w:sz w:val="22"/>
                <w14:textFill>
                  <w14:solidFill>
                    <w14:schemeClr w14:val="tx1"/>
                  </w14:solidFill>
                </w14:textFill>
              </w:rPr>
              <w:t>优先股</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tcPr>
          <w:p>
            <w:pPr>
              <w:ind w:right="420"/>
              <w:rPr>
                <w:color w:val="000000" w:themeColor="text1"/>
                <w:sz w:val="22"/>
                <w14:textFill>
                  <w14:solidFill>
                    <w14:schemeClr w14:val="tx1"/>
                  </w14:solidFill>
                </w14:textFill>
              </w:rPr>
            </w:pPr>
            <w:r>
              <w:rPr>
                <w:rFonts w:hint="eastAsia"/>
                <w:color w:val="000000" w:themeColor="text1"/>
                <w:sz w:val="22"/>
                <w14:textFill>
                  <w14:solidFill>
                    <w14:schemeClr w14:val="tx1"/>
                  </w14:solidFill>
                </w14:textFill>
              </w:rPr>
              <w:t>计入</w:t>
            </w:r>
            <w:r>
              <w:rPr>
                <w:color w:val="000000" w:themeColor="text1"/>
                <w:sz w:val="22"/>
                <w14:textFill>
                  <w14:solidFill>
                    <w14:schemeClr w14:val="tx1"/>
                  </w14:solidFill>
                </w14:textFill>
              </w:rPr>
              <w:t>负债的优先股</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410" w:type="dxa"/>
          </w:tcPr>
          <w:p>
            <w:pPr>
              <w:ind w:right="420"/>
              <w:jc w:val="center"/>
              <w:rPr>
                <w:b/>
                <w:color w:val="000000" w:themeColor="text1"/>
                <w:sz w:val="22"/>
                <w14:textFill>
                  <w14:solidFill>
                    <w14:schemeClr w14:val="tx1"/>
                  </w14:solidFill>
                </w14:textFill>
              </w:rPr>
            </w:pPr>
            <w:r>
              <w:rPr>
                <w:rFonts w:hint="eastAsia"/>
                <w:b/>
                <w:color w:val="000000" w:themeColor="text1"/>
                <w:sz w:val="22"/>
                <w14:textFill>
                  <w14:solidFill>
                    <w14:schemeClr w14:val="tx1"/>
                  </w14:solidFill>
                </w14:textFill>
              </w:rPr>
              <w:t>优先股总股本</w:t>
            </w:r>
          </w:p>
        </w:tc>
        <w:tc>
          <w:tcPr>
            <w:tcW w:w="2409"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c>
          <w:tcPr>
            <w:tcW w:w="2410" w:type="dxa"/>
          </w:tcPr>
          <w:p>
            <w:pPr>
              <w:ind w:right="420"/>
              <w:rPr>
                <w:color w:val="000000" w:themeColor="text1"/>
                <w:sz w:val="22"/>
                <w14:textFill>
                  <w14:solidFill>
                    <w14:schemeClr w14:val="tx1"/>
                  </w14:solidFill>
                </w14:textFill>
              </w:rPr>
            </w:pPr>
          </w:p>
        </w:tc>
      </w:tr>
    </w:tbl>
    <w:p>
      <w:pPr>
        <w:rPr>
          <w:rFonts w:ascii="宋体" w:hAnsi="宋体"/>
          <w:b/>
          <w:color w:val="000000" w:themeColor="text1"/>
          <w:szCs w:val="21"/>
          <w14:textFill>
            <w14:solidFill>
              <w14:schemeClr w14:val="tx1"/>
            </w14:solidFill>
          </w14:textFill>
        </w:rPr>
      </w:pPr>
    </w:p>
    <w:p>
      <w:pPr>
        <w:jc w:val="right"/>
        <w:rPr>
          <w:rFonts w:asciiTheme="minorEastAsia" w:hAnsiTheme="minorEastAsia"/>
          <w:szCs w:val="21"/>
        </w:rPr>
      </w:pPr>
      <w:r>
        <w:rPr>
          <w:rFonts w:hint="eastAsia" w:asciiTheme="minorEastAsia" w:hAnsiTheme="minorEastAsia"/>
          <w:szCs w:val="21"/>
        </w:rPr>
        <w:t>单位</w:t>
      </w:r>
      <w:r>
        <w:rPr>
          <w:rFonts w:asciiTheme="minorEastAsia" w:hAnsiTheme="minorEastAsia"/>
          <w:szCs w:val="21"/>
        </w:rPr>
        <w:t>：股</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660"/>
        <w:gridCol w:w="567"/>
        <w:gridCol w:w="1701"/>
        <w:gridCol w:w="2317"/>
        <w:gridCol w:w="2361"/>
        <w:gridCol w:w="1134"/>
        <w:gridCol w:w="89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227" w:type="dxa"/>
            <w:gridSpan w:val="2"/>
            <w:tcBorders>
              <w:bottom w:val="single" w:color="5B9BD5" w:sz="4" w:space="0"/>
            </w:tcBorders>
            <w:shd w:val="pct10" w:color="auto" w:fill="auto"/>
            <w:vAlign w:val="center"/>
          </w:tcPr>
          <w:p>
            <w:pPr>
              <w:jc w:val="center"/>
              <w:rPr>
                <w:rFonts w:ascii="Calibri" w:hAnsi="Calibri" w:eastAsia="宋体" w:cs="Times New Roman"/>
                <w:b/>
                <w:color w:val="000000"/>
                <w:sz w:val="22"/>
              </w:rPr>
            </w:pPr>
            <w:r>
              <w:rPr>
                <w:rFonts w:hint="eastAsia" w:ascii="Calibri" w:hAnsi="Calibri" w:eastAsia="宋体" w:cs="Times New Roman"/>
                <w:b/>
                <w:color w:val="000000"/>
                <w:sz w:val="22"/>
              </w:rPr>
              <w:t>证券代码</w:t>
            </w:r>
          </w:p>
        </w:tc>
        <w:tc>
          <w:tcPr>
            <w:tcW w:w="1701" w:type="dxa"/>
            <w:tcBorders>
              <w:bottom w:val="single" w:color="5B9BD5" w:sz="4" w:space="0"/>
            </w:tcBorders>
            <w:shd w:val="pct10" w:color="auto" w:fill="auto"/>
            <w:vAlign w:val="center"/>
          </w:tcPr>
          <w:p>
            <w:pPr>
              <w:jc w:val="center"/>
              <w:rPr>
                <w:rFonts w:ascii="Calibri" w:hAnsi="Calibri" w:eastAsia="宋体" w:cs="Times New Roman"/>
                <w:b/>
                <w:color w:val="000000"/>
                <w:sz w:val="22"/>
              </w:rPr>
            </w:pPr>
          </w:p>
        </w:tc>
        <w:tc>
          <w:tcPr>
            <w:tcW w:w="2317" w:type="dxa"/>
            <w:tcBorders>
              <w:bottom w:val="single" w:color="5B9BD5" w:sz="4" w:space="0"/>
            </w:tcBorders>
            <w:shd w:val="pct10" w:color="auto" w:fill="auto"/>
            <w:vAlign w:val="center"/>
          </w:tcPr>
          <w:p>
            <w:pPr>
              <w:jc w:val="center"/>
              <w:rPr>
                <w:rFonts w:ascii="Calibri" w:hAnsi="Calibri" w:eastAsia="宋体" w:cs="Times New Roman"/>
                <w:b/>
                <w:color w:val="000000"/>
                <w:sz w:val="22"/>
              </w:rPr>
            </w:pPr>
            <w:r>
              <w:rPr>
                <w:rFonts w:hint="eastAsia" w:ascii="Calibri" w:hAnsi="Calibri" w:eastAsia="宋体" w:cs="Times New Roman"/>
                <w:b/>
                <w:color w:val="000000"/>
                <w:sz w:val="22"/>
              </w:rPr>
              <w:t>证券</w:t>
            </w:r>
            <w:r>
              <w:rPr>
                <w:rFonts w:ascii="Calibri" w:hAnsi="Calibri" w:eastAsia="宋体" w:cs="Times New Roman"/>
                <w:b/>
                <w:color w:val="000000"/>
                <w:sz w:val="22"/>
              </w:rPr>
              <w:t>简称</w:t>
            </w:r>
          </w:p>
        </w:tc>
        <w:tc>
          <w:tcPr>
            <w:tcW w:w="2361" w:type="dxa"/>
            <w:tcBorders>
              <w:bottom w:val="single" w:color="5B9BD5" w:sz="4" w:space="0"/>
            </w:tcBorders>
            <w:shd w:val="pct10" w:color="auto" w:fill="auto"/>
            <w:vAlign w:val="center"/>
          </w:tcPr>
          <w:p>
            <w:pPr>
              <w:jc w:val="center"/>
              <w:rPr>
                <w:rFonts w:ascii="Calibri" w:hAnsi="Calibri" w:eastAsia="宋体" w:cs="Times New Roman"/>
                <w:b/>
                <w:color w:val="000000"/>
                <w:sz w:val="22"/>
              </w:rPr>
            </w:pPr>
          </w:p>
        </w:tc>
        <w:tc>
          <w:tcPr>
            <w:tcW w:w="1134" w:type="dxa"/>
            <w:tcBorders>
              <w:bottom w:val="single" w:color="5B9BD5" w:sz="4" w:space="0"/>
              <w:right w:val="single" w:color="5B9BD5" w:sz="4" w:space="0"/>
            </w:tcBorders>
            <w:shd w:val="pct10" w:color="auto" w:fill="auto"/>
            <w:vAlign w:val="center"/>
          </w:tcPr>
          <w:p>
            <w:pPr>
              <w:jc w:val="center"/>
              <w:rPr>
                <w:rFonts w:ascii="Calibri" w:hAnsi="Calibri" w:eastAsia="宋体" w:cs="Times New Roman"/>
                <w:b/>
                <w:color w:val="000000"/>
                <w:sz w:val="22"/>
              </w:rPr>
            </w:pPr>
            <w:r>
              <w:rPr>
                <w:rFonts w:hint="eastAsia" w:ascii="Calibri" w:hAnsi="Calibri" w:eastAsia="宋体" w:cs="Times New Roman"/>
                <w:b/>
                <w:color w:val="000000"/>
                <w:sz w:val="22"/>
              </w:rPr>
              <w:t>股东人数</w:t>
            </w:r>
          </w:p>
        </w:tc>
        <w:tc>
          <w:tcPr>
            <w:tcW w:w="899" w:type="dxa"/>
            <w:tcBorders>
              <w:left w:val="single" w:color="5B9BD5" w:sz="4" w:space="0"/>
              <w:bottom w:val="single" w:color="5B9BD5" w:sz="4" w:space="0"/>
            </w:tcBorders>
            <w:shd w:val="pct10" w:color="auto" w:fill="auto"/>
            <w:vAlign w:val="center"/>
          </w:tcPr>
          <w:p>
            <w:pPr>
              <w:jc w:val="center"/>
              <w:rPr>
                <w:rFonts w:ascii="Calibri" w:hAnsi="Calibri" w:eastAsia="宋体" w:cs="Times New Roman"/>
                <w:b/>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363" w:hRule="atLeast"/>
        </w:trPr>
        <w:tc>
          <w:tcPr>
            <w:tcW w:w="660" w:type="dxa"/>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序号</w:t>
            </w:r>
          </w:p>
        </w:tc>
        <w:tc>
          <w:tcPr>
            <w:tcW w:w="2268" w:type="dxa"/>
            <w:gridSpan w:val="2"/>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股东</w:t>
            </w:r>
            <w:r>
              <w:rPr>
                <w:rFonts w:ascii="宋体" w:hAnsi="宋体" w:eastAsia="宋体" w:cs="Times New Roman"/>
                <w:b/>
                <w:color w:val="000000"/>
                <w:sz w:val="22"/>
              </w:rPr>
              <w:t>名称</w:t>
            </w:r>
          </w:p>
        </w:tc>
        <w:tc>
          <w:tcPr>
            <w:tcW w:w="2317" w:type="dxa"/>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期初持股数量</w:t>
            </w:r>
          </w:p>
        </w:tc>
        <w:tc>
          <w:tcPr>
            <w:tcW w:w="2361" w:type="dxa"/>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期末持股</w:t>
            </w:r>
            <w:r>
              <w:rPr>
                <w:rFonts w:ascii="宋体" w:hAnsi="宋体" w:eastAsia="宋体" w:cs="Times New Roman"/>
                <w:b/>
                <w:color w:val="000000"/>
                <w:sz w:val="22"/>
              </w:rPr>
              <w:t>数量</w:t>
            </w:r>
          </w:p>
        </w:tc>
        <w:tc>
          <w:tcPr>
            <w:tcW w:w="2033" w:type="dxa"/>
            <w:gridSpan w:val="2"/>
            <w:shd w:val="pct10" w:color="auto" w:fill="auto"/>
            <w:vAlign w:val="center"/>
          </w:tcPr>
          <w:p>
            <w:pPr>
              <w:jc w:val="center"/>
              <w:rPr>
                <w:rFonts w:ascii="宋体" w:hAnsi="宋体" w:eastAsia="宋体" w:cs="Times New Roman"/>
                <w:b/>
                <w:color w:val="000000"/>
                <w:sz w:val="22"/>
              </w:rPr>
            </w:pPr>
            <w:r>
              <w:rPr>
                <w:rFonts w:hint="eastAsia" w:ascii="宋体" w:hAnsi="宋体" w:eastAsia="宋体" w:cs="Times New Roman"/>
                <w:b/>
                <w:color w:val="000000"/>
                <w:sz w:val="22"/>
              </w:rPr>
              <w:t>期末持股比例%</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1</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2</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3</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4</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5</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6</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7</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8</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9</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660" w:type="dxa"/>
          </w:tcPr>
          <w:p>
            <w:pPr>
              <w:jc w:val="center"/>
              <w:rPr>
                <w:rFonts w:ascii="Calibri" w:hAnsi="Calibri" w:eastAsia="宋体" w:cs="Times New Roman"/>
                <w:color w:val="000000"/>
                <w:sz w:val="22"/>
              </w:rPr>
            </w:pPr>
            <w:r>
              <w:rPr>
                <w:rFonts w:hint="eastAsia" w:ascii="Calibri" w:hAnsi="Calibri" w:eastAsia="宋体" w:cs="Times New Roman"/>
                <w:color w:val="000000"/>
                <w:sz w:val="22"/>
              </w:rPr>
              <w:t>10</w:t>
            </w:r>
          </w:p>
        </w:tc>
        <w:tc>
          <w:tcPr>
            <w:tcW w:w="2268" w:type="dxa"/>
            <w:gridSpan w:val="2"/>
          </w:tcPr>
          <w:p>
            <w:pPr>
              <w:jc w:val="center"/>
              <w:rPr>
                <w:rFonts w:ascii="Calibri" w:hAnsi="Calibri" w:eastAsia="宋体" w:cs="Times New Roman"/>
                <w:color w:val="000000"/>
                <w:sz w:val="22"/>
              </w:rPr>
            </w:pPr>
          </w:p>
        </w:tc>
        <w:tc>
          <w:tcPr>
            <w:tcW w:w="2317" w:type="dxa"/>
          </w:tcPr>
          <w:p>
            <w:pPr>
              <w:jc w:val="center"/>
              <w:rPr>
                <w:rFonts w:ascii="Calibri" w:hAnsi="Calibri" w:eastAsia="宋体" w:cs="Times New Roman"/>
                <w:color w:val="000000"/>
                <w:sz w:val="22"/>
              </w:rPr>
            </w:pPr>
          </w:p>
        </w:tc>
        <w:tc>
          <w:tcPr>
            <w:tcW w:w="2361" w:type="dxa"/>
          </w:tcPr>
          <w:p>
            <w:pPr>
              <w:jc w:val="center"/>
              <w:rPr>
                <w:rFonts w:ascii="Calibri" w:hAnsi="Calibri" w:eastAsia="宋体" w:cs="Times New Roman"/>
                <w:color w:val="000000"/>
                <w:sz w:val="22"/>
              </w:rPr>
            </w:pPr>
          </w:p>
        </w:tc>
        <w:tc>
          <w:tcPr>
            <w:tcW w:w="2033" w:type="dxa"/>
            <w:gridSpan w:val="2"/>
          </w:tcPr>
          <w:p>
            <w:pPr>
              <w:jc w:val="center"/>
              <w:rPr>
                <w:rFonts w:ascii="Calibri" w:hAnsi="Calibri" w:eastAsia="宋体" w:cs="Times New Roman"/>
                <w:color w:val="000000"/>
                <w:sz w:val="22"/>
              </w:rPr>
            </w:pPr>
          </w:p>
        </w:tc>
      </w:tr>
    </w:tbl>
    <w:p>
      <w:pPr>
        <w:rPr>
          <w:rFonts w:ascii="宋体" w:hAnsi="宋体"/>
          <w:b/>
          <w:color w:val="000000" w:themeColor="text1"/>
          <w:szCs w:val="21"/>
          <w14:textFill>
            <w14:solidFill>
              <w14:schemeClr w14:val="tx1"/>
            </w14:solidFill>
          </w14:textFill>
        </w:rPr>
      </w:pPr>
    </w:p>
    <w:p>
      <w:pP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优先股表决权</w:t>
      </w:r>
      <w:r>
        <w:rPr>
          <w:rFonts w:ascii="宋体" w:hAnsi="宋体"/>
          <w:b/>
          <w:color w:val="000000" w:themeColor="text1"/>
          <w:szCs w:val="21"/>
          <w14:textFill>
            <w14:solidFill>
              <w14:schemeClr w14:val="tx1"/>
            </w14:solidFill>
          </w14:textFill>
        </w:rPr>
        <w:t>恢复情况</w:t>
      </w:r>
      <w:r>
        <w:rPr>
          <w:rFonts w:hint="eastAsia" w:ascii="宋体" w:hAnsi="宋体"/>
          <w:b/>
          <w:color w:val="000000" w:themeColor="text1"/>
          <w:szCs w:val="21"/>
          <w14:textFill>
            <w14:solidFill>
              <w14:schemeClr w14:val="tx1"/>
            </w14:solidFill>
          </w14:textFill>
        </w:rPr>
        <w:t>：</w:t>
      </w:r>
    </w:p>
    <w:p>
      <w:pPr>
        <w:rPr>
          <w:rFonts w:ascii="宋体" w:hAnsi="宋体"/>
          <w:b/>
          <w:bCs/>
          <w:szCs w:val="21"/>
        </w:rPr>
      </w:pPr>
      <w:r>
        <w:rPr>
          <w:rFonts w:hint="eastAsia" w:ascii="Calibri" w:hAnsi="Calibri" w:eastAsia="宋体" w:cs="Times New Roman"/>
        </w:rPr>
        <w:t>□  适用  □  不适用</w:t>
      </w:r>
    </w:p>
    <w:tbl>
      <w:tblPr>
        <w:tblStyle w:val="46"/>
        <w:tblW w:w="5831"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89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32" w:hRule="atLeast"/>
        </w:trPr>
        <w:tc>
          <w:tcPr>
            <w:tcW w:w="5000" w:type="pct"/>
            <w:shd w:val="clear" w:color="auto" w:fill="auto"/>
          </w:tcPr>
          <w:p>
            <w:pPr>
              <w:ind w:right="420"/>
              <w:rPr>
                <w:rFonts w:asciiTheme="minorEastAsia" w:hAnsiTheme="minorEastAsia"/>
                <w:i/>
                <w:color w:val="FF0000"/>
                <w:szCs w:val="44"/>
              </w:rPr>
            </w:pPr>
            <w:r>
              <w:rPr>
                <w:rFonts w:hint="eastAsia" w:asciiTheme="minorEastAsia" w:hAnsiTheme="minorEastAsia"/>
                <w:i/>
                <w:color w:val="FF0000"/>
                <w:szCs w:val="44"/>
              </w:rPr>
              <w:t>注：如公司报告期内存在表决权恢复的优先股，应当披露优先股表决权恢复的原因</w:t>
            </w:r>
            <w:r>
              <w:rPr>
                <w:rFonts w:asciiTheme="minorEastAsia" w:hAnsiTheme="minorEastAsia"/>
                <w:i/>
                <w:color w:val="FF0000"/>
                <w:szCs w:val="44"/>
              </w:rPr>
              <w:t>、股东及持股比例</w:t>
            </w:r>
            <w:r>
              <w:rPr>
                <w:rFonts w:hint="eastAsia" w:asciiTheme="minorEastAsia" w:hAnsiTheme="minorEastAsia"/>
                <w:i/>
                <w:color w:val="FF0000"/>
                <w:szCs w:val="44"/>
              </w:rPr>
              <w:t>等。</w:t>
            </w:r>
          </w:p>
          <w:p>
            <w:pPr>
              <w:ind w:right="420"/>
              <w:rPr>
                <w:rFonts w:asciiTheme="minorEastAsia" w:hAnsiTheme="minorEastAsia"/>
                <w:sz w:val="22"/>
              </w:rPr>
            </w:pPr>
          </w:p>
        </w:tc>
      </w:tr>
    </w:tbl>
    <w:p/>
    <w:p>
      <w:pPr>
        <w:pStyle w:val="44"/>
        <w:ind w:firstLine="180" w:firstLineChars="50"/>
        <w:rPr>
          <w:rFonts w:ascii="黑体" w:hAnsi="黑体" w:eastAsia="黑体"/>
          <w:b w:val="0"/>
          <w:sz w:val="36"/>
          <w:szCs w:val="36"/>
        </w:rPr>
      </w:pPr>
      <w:bookmarkStart w:id="2" w:name="_Toc505095879"/>
      <w:r>
        <w:rPr>
          <w:rFonts w:hint="eastAsia" w:ascii="黑体" w:hAnsi="黑体" w:eastAsia="黑体"/>
          <w:b w:val="0"/>
          <w:sz w:val="36"/>
          <w:szCs w:val="36"/>
        </w:rPr>
        <w:t>第三节 重</w:t>
      </w:r>
      <w:bookmarkEnd w:id="2"/>
      <w:r>
        <w:rPr>
          <w:rFonts w:hint="eastAsia" w:ascii="黑体" w:hAnsi="黑体" w:eastAsia="黑体"/>
          <w:b w:val="0"/>
          <w:sz w:val="36"/>
          <w:szCs w:val="36"/>
        </w:rPr>
        <w:t>大事件</w:t>
      </w:r>
    </w:p>
    <w:p>
      <w:pPr>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一、重大事项的合规情况</w:t>
      </w:r>
    </w:p>
    <w:p>
      <w:pPr>
        <w:ind w:firstLine="315" w:firstLineChars="150"/>
      </w:pPr>
      <w:r>
        <w:rPr>
          <w:rFonts w:hint="eastAsia"/>
        </w:rPr>
        <w:t xml:space="preserve">□  适用  </w:t>
      </w:r>
      <w:r>
        <w:t xml:space="preserve">   </w:t>
      </w:r>
      <w:r>
        <w:rPr>
          <w:rFonts w:hint="eastAsia"/>
        </w:rPr>
        <w:t>□  不适用</w:t>
      </w:r>
      <w:r>
        <w:t xml:space="preserve"> </w:t>
      </w:r>
    </w:p>
    <w:tbl>
      <w:tblPr>
        <w:tblStyle w:val="46"/>
        <w:tblW w:w="9639" w:type="dxa"/>
        <w:jc w:val="center"/>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928"/>
        <w:gridCol w:w="1312"/>
        <w:gridCol w:w="1665"/>
        <w:gridCol w:w="1367"/>
        <w:gridCol w:w="1367"/>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asciiTheme="minorEastAsia" w:hAnsiTheme="minorEastAsia"/>
                <w:b/>
                <w:color w:val="000000" w:themeColor="text1"/>
                <w:sz w:val="22"/>
                <w14:textFill>
                  <w14:solidFill>
                    <w14:schemeClr w14:val="tx1"/>
                  </w14:solidFill>
                </w14:textFill>
              </w:rPr>
              <w:t>事项</w:t>
            </w:r>
          </w:p>
        </w:tc>
        <w:tc>
          <w:tcPr>
            <w:tcW w:w="1312" w:type="dxa"/>
            <w:shd w:val="pct10" w:color="auto" w:fill="auto"/>
            <w:vAlign w:val="center"/>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报告期内是否</w:t>
            </w:r>
            <w:r>
              <w:rPr>
                <w:rFonts w:asciiTheme="minorEastAsia" w:hAnsiTheme="minorEastAsia"/>
                <w:b/>
                <w:color w:val="000000" w:themeColor="text1"/>
                <w:sz w:val="22"/>
                <w14:textFill>
                  <w14:solidFill>
                    <w14:schemeClr w14:val="tx1"/>
                  </w14:solidFill>
                </w14:textFill>
              </w:rPr>
              <w:t>存在</w:t>
            </w:r>
          </w:p>
        </w:tc>
        <w:tc>
          <w:tcPr>
            <w:tcW w:w="1665"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是否经过</w:t>
            </w:r>
            <w:r>
              <w:rPr>
                <w:rFonts w:asciiTheme="minorEastAsia" w:hAnsiTheme="minorEastAsia"/>
                <w:b/>
                <w:color w:val="000000" w:themeColor="text1"/>
                <w:sz w:val="22"/>
                <w14:textFill>
                  <w14:solidFill>
                    <w14:schemeClr w14:val="tx1"/>
                  </w14:solidFill>
                </w14:textFill>
              </w:rPr>
              <w:t>内部审议程序</w:t>
            </w:r>
          </w:p>
        </w:tc>
        <w:tc>
          <w:tcPr>
            <w:tcW w:w="1367"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是否及时履行披露</w:t>
            </w:r>
            <w:r>
              <w:rPr>
                <w:rFonts w:asciiTheme="minorEastAsia" w:hAnsiTheme="minorEastAsia"/>
                <w:b/>
                <w:color w:val="000000" w:themeColor="text1"/>
                <w:sz w:val="22"/>
                <w14:textFill>
                  <w14:solidFill>
                    <w14:schemeClr w14:val="tx1"/>
                  </w14:solidFill>
                </w14:textFill>
              </w:rPr>
              <w:t>义务</w:t>
            </w:r>
          </w:p>
        </w:tc>
        <w:tc>
          <w:tcPr>
            <w:tcW w:w="1367" w:type="dxa"/>
            <w:shd w:val="pct10" w:color="auto" w:fill="auto"/>
          </w:tcPr>
          <w:p>
            <w:pPr>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临时</w:t>
            </w:r>
            <w:r>
              <w:rPr>
                <w:rFonts w:asciiTheme="minorEastAsia" w:hAnsiTheme="minorEastAsia"/>
                <w:b/>
                <w:color w:val="000000" w:themeColor="text1"/>
                <w:sz w:val="22"/>
                <w14:textFill>
                  <w14:solidFill>
                    <w14:schemeClr w14:val="tx1"/>
                  </w14:solidFill>
                </w14:textFill>
              </w:rPr>
              <w:t>公告</w:t>
            </w:r>
            <w:r>
              <w:rPr>
                <w:rFonts w:hint="eastAsia" w:asciiTheme="minorEastAsia" w:hAnsiTheme="minorEastAsia"/>
                <w:b/>
                <w:color w:val="000000" w:themeColor="text1"/>
                <w:sz w:val="22"/>
                <w14:textFill>
                  <w14:solidFill>
                    <w14:schemeClr w14:val="tx1"/>
                  </w14:solidFill>
                </w14:textFill>
              </w:rPr>
              <w:t>查询索引</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诉讼、仲裁事项</w:t>
            </w:r>
          </w:p>
        </w:tc>
        <w:tc>
          <w:tcPr>
            <w:tcW w:w="1312"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（是/否）</w:t>
            </w:r>
          </w:p>
        </w:tc>
        <w:tc>
          <w:tcPr>
            <w:tcW w:w="1665"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（已事前</w:t>
            </w:r>
            <w:r>
              <w:rPr>
                <w:rFonts w:asciiTheme="minorEastAsia" w:hAnsiTheme="minorEastAsia"/>
                <w:color w:val="FF0000"/>
                <w:sz w:val="22"/>
              </w:rPr>
              <w:t>及时</w:t>
            </w:r>
            <w:r>
              <w:rPr>
                <w:rFonts w:hint="eastAsia" w:asciiTheme="minorEastAsia" w:hAnsiTheme="minorEastAsia"/>
                <w:color w:val="FF0000"/>
                <w:sz w:val="22"/>
              </w:rPr>
              <w:t>履行/已事后</w:t>
            </w:r>
            <w:r>
              <w:rPr>
                <w:rFonts w:asciiTheme="minorEastAsia" w:hAnsiTheme="minorEastAsia"/>
                <w:color w:val="FF0000"/>
                <w:sz w:val="22"/>
              </w:rPr>
              <w:t>补充</w:t>
            </w:r>
            <w:r>
              <w:rPr>
                <w:rFonts w:hint="eastAsia" w:asciiTheme="minorEastAsia" w:hAnsiTheme="minorEastAsia"/>
                <w:color w:val="FF0000"/>
                <w:sz w:val="22"/>
              </w:rPr>
              <w:t>履行/尚未履行/不适用）</w:t>
            </w:r>
          </w:p>
        </w:tc>
        <w:tc>
          <w:tcPr>
            <w:tcW w:w="1367"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（是/否/不适用）</w:t>
            </w: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jc w:val="center"/>
        </w:trPr>
        <w:tc>
          <w:tcPr>
            <w:tcW w:w="3928" w:type="dxa"/>
          </w:tcPr>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对外担保事项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对外提供借款</w:t>
            </w:r>
            <w:r>
              <w:rPr>
                <w:rFonts w:hint="eastAsia" w:asciiTheme="minorEastAsia" w:hAnsiTheme="minorEastAsia"/>
                <w:color w:val="000000" w:themeColor="text1"/>
                <w:sz w:val="22"/>
                <w14:textFill>
                  <w14:solidFill>
                    <w14:schemeClr w14:val="tx1"/>
                  </w14:solidFill>
                </w14:textFill>
              </w:rPr>
              <w:t>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sz w:val="22"/>
              </w:rPr>
              <w:t>股东及其关联方占用或转移公司资金、资产</w:t>
            </w:r>
            <w:r>
              <w:rPr>
                <w:rFonts w:hint="eastAsia" w:asciiTheme="minorEastAsia" w:hAnsiTheme="minorEastAsia"/>
                <w:sz w:val="22"/>
              </w:rPr>
              <w:t>及其他</w:t>
            </w:r>
            <w:r>
              <w:rPr>
                <w:rFonts w:asciiTheme="minorEastAsia" w:hAnsiTheme="minorEastAsia"/>
                <w:sz w:val="22"/>
              </w:rPr>
              <w:t>资源</w:t>
            </w:r>
            <w:r>
              <w:rPr>
                <w:rFonts w:hint="eastAsia" w:asciiTheme="minorEastAsia" w:hAnsiTheme="minorEastAsia"/>
                <w:sz w:val="22"/>
              </w:rPr>
              <w:t>的</w:t>
            </w:r>
            <w:r>
              <w:rPr>
                <w:rFonts w:asciiTheme="minorEastAsia" w:hAnsiTheme="minorEastAsia"/>
                <w:sz w:val="22"/>
              </w:rPr>
              <w:t>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sz w:val="22"/>
              </w:rPr>
              <w:t>日常性关联交易</w:t>
            </w:r>
            <w:r>
              <w:rPr>
                <w:rFonts w:hint="eastAsia" w:asciiTheme="minorEastAsia" w:hAnsiTheme="minorEastAsia"/>
                <w:sz w:val="22"/>
              </w:rPr>
              <w:t>的预计</w:t>
            </w:r>
            <w:r>
              <w:rPr>
                <w:rFonts w:asciiTheme="minorEastAsia" w:hAnsiTheme="minorEastAsia"/>
                <w:sz w:val="22"/>
              </w:rPr>
              <w:t>及执行情况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jc w:val="center"/>
        </w:trPr>
        <w:tc>
          <w:tcPr>
            <w:tcW w:w="3928" w:type="dxa"/>
          </w:tcPr>
          <w:p>
            <w:pPr>
              <w:jc w:val="left"/>
              <w:rPr>
                <w:rFonts w:asciiTheme="minorEastAsia" w:hAnsiTheme="minorEastAsia"/>
                <w:sz w:val="22"/>
              </w:rPr>
            </w:pPr>
            <w:r>
              <w:rPr>
                <w:rFonts w:hint="eastAsia" w:asciiTheme="minorEastAsia" w:hAnsiTheme="minorEastAsia"/>
                <w:sz w:val="22"/>
              </w:rPr>
              <w:t>其他</w:t>
            </w:r>
            <w:r>
              <w:rPr>
                <w:rFonts w:asciiTheme="minorEastAsia" w:hAnsiTheme="minorEastAsia"/>
                <w:sz w:val="22"/>
              </w:rPr>
              <w:t>重大</w:t>
            </w:r>
            <w:r>
              <w:rPr>
                <w:rFonts w:hint="eastAsia" w:asciiTheme="minorEastAsia" w:hAnsiTheme="minorEastAsia"/>
                <w:sz w:val="22"/>
              </w:rPr>
              <w:t>关联交易事项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经股东大会审议</w:t>
            </w:r>
            <w:r>
              <w:rPr>
                <w:rFonts w:hint="eastAsia" w:asciiTheme="minorEastAsia" w:hAnsiTheme="minorEastAsia"/>
                <w:color w:val="000000" w:themeColor="text1"/>
                <w:sz w:val="22"/>
                <w14:textFill>
                  <w14:solidFill>
                    <w14:schemeClr w14:val="tx1"/>
                  </w14:solidFill>
                </w14:textFill>
              </w:rPr>
              <w:t>通过</w:t>
            </w:r>
            <w:r>
              <w:rPr>
                <w:rFonts w:asciiTheme="minorEastAsia" w:hAnsiTheme="minorEastAsia"/>
                <w:color w:val="000000" w:themeColor="text1"/>
                <w:sz w:val="22"/>
                <w14:textFill>
                  <w14:solidFill>
                    <w14:schemeClr w14:val="tx1"/>
                  </w14:solidFill>
                </w14:textFill>
              </w:rPr>
              <w:t>的收购</w:t>
            </w:r>
            <w:r>
              <w:rPr>
                <w:rFonts w:hint="eastAsia" w:asciiTheme="minorEastAsia" w:hAnsiTheme="minorEastAsia"/>
                <w:color w:val="000000" w:themeColor="text1"/>
                <w:sz w:val="22"/>
                <w14:textFill>
                  <w14:solidFill>
                    <w14:schemeClr w14:val="tx1"/>
                  </w14:solidFill>
                </w14:textFill>
              </w:rPr>
              <w:t>、</w:t>
            </w:r>
            <w:r>
              <w:rPr>
                <w:rFonts w:asciiTheme="minorEastAsia" w:hAnsiTheme="minorEastAsia"/>
                <w:color w:val="000000" w:themeColor="text1"/>
                <w:sz w:val="22"/>
                <w14:textFill>
                  <w14:solidFill>
                    <w14:schemeClr w14:val="tx1"/>
                  </w14:solidFill>
                </w14:textFill>
              </w:rPr>
              <w:t>出售资产</w:t>
            </w:r>
            <w:r>
              <w:rPr>
                <w:rFonts w:hint="eastAsia" w:asciiTheme="minorEastAsia" w:hAnsiTheme="minorEastAsia"/>
                <w:color w:val="000000" w:themeColor="text1"/>
                <w:sz w:val="22"/>
                <w14:textFill>
                  <w14:solidFill>
                    <w14:schemeClr w14:val="tx1"/>
                  </w14:solidFill>
                </w14:textFill>
              </w:rPr>
              <w:t>、</w:t>
            </w:r>
            <w:r>
              <w:rPr>
                <w:rFonts w:asciiTheme="minorEastAsia" w:hAnsiTheme="minorEastAsia"/>
                <w:color w:val="000000" w:themeColor="text1"/>
                <w:sz w:val="22"/>
                <w14:textFill>
                  <w14:solidFill>
                    <w14:schemeClr w14:val="tx1"/>
                  </w14:solidFill>
                </w14:textFill>
              </w:rPr>
              <w:t>对外投资</w:t>
            </w:r>
            <w:r>
              <w:rPr>
                <w:rFonts w:hint="eastAsia" w:asciiTheme="minorEastAsia" w:hAnsiTheme="minorEastAsia"/>
                <w:color w:val="000000" w:themeColor="text1"/>
                <w:sz w:val="22"/>
                <w14:textFill>
                  <w14:solidFill>
                    <w14:schemeClr w14:val="tx1"/>
                  </w14:solidFill>
                </w14:textFill>
              </w:rPr>
              <w:t>事项或者本季度发生的企业合并事项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股权激励计划、员工持股计划或其他员工激励措施</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股份回购事项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已披露</w:t>
            </w:r>
            <w:r>
              <w:rPr>
                <w:rFonts w:asciiTheme="minorEastAsia" w:hAnsiTheme="minorEastAsia"/>
                <w:color w:val="000000" w:themeColor="text1"/>
                <w:sz w:val="22"/>
                <w14:textFill>
                  <w14:solidFill>
                    <w14:schemeClr w14:val="tx1"/>
                  </w14:solidFill>
                </w14:textFill>
              </w:rPr>
              <w:t>的承诺</w:t>
            </w:r>
            <w:r>
              <w:rPr>
                <w:rFonts w:hint="eastAsia" w:asciiTheme="minorEastAsia" w:hAnsiTheme="minorEastAsia"/>
                <w:color w:val="000000" w:themeColor="text1"/>
                <w:sz w:val="22"/>
                <w14:textFill>
                  <w14:solidFill>
                    <w14:schemeClr w14:val="tx1"/>
                  </w14:solidFill>
                </w14:textFill>
              </w:rPr>
              <w:t>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asciiTheme="minorEastAsia" w:hAnsiTheme="minorEastAsia"/>
                <w:color w:val="000000" w:themeColor="text1"/>
                <w:sz w:val="22"/>
                <w14:textFill>
                  <w14:solidFill>
                    <w14:schemeClr w14:val="tx1"/>
                  </w14:solidFill>
                </w14:textFill>
              </w:rPr>
              <w:t>资产被查封、扣押、冻结或者被抵押、质押的情况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被</w:t>
            </w:r>
            <w:r>
              <w:rPr>
                <w:rFonts w:asciiTheme="minorEastAsia" w:hAnsiTheme="minorEastAsia"/>
                <w:color w:val="000000" w:themeColor="text1"/>
                <w:sz w:val="22"/>
                <w14:textFill>
                  <w14:solidFill>
                    <w14:schemeClr w14:val="tx1"/>
                  </w14:solidFill>
                </w14:textFill>
              </w:rPr>
              <w:t>调查</w:t>
            </w:r>
            <w:r>
              <w:rPr>
                <w:rFonts w:hint="eastAsia" w:asciiTheme="minorEastAsia" w:hAnsiTheme="minorEastAsia"/>
                <w:color w:val="000000" w:themeColor="text1"/>
                <w:sz w:val="22"/>
                <w14:textFill>
                  <w14:solidFill>
                    <w14:schemeClr w14:val="tx1"/>
                  </w14:solidFill>
                </w14:textFill>
              </w:rPr>
              <w:t>处罚</w:t>
            </w:r>
            <w:r>
              <w:rPr>
                <w:rFonts w:asciiTheme="minorEastAsia" w:hAnsiTheme="minorEastAsia"/>
                <w:color w:val="000000" w:themeColor="text1"/>
                <w:sz w:val="22"/>
                <w14:textFill>
                  <w14:solidFill>
                    <w14:schemeClr w14:val="tx1"/>
                  </w14:solidFill>
                </w14:textFill>
              </w:rPr>
              <w:t>的事项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失信情况</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FF0000"/>
                <w:sz w:val="22"/>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jc w:val="center"/>
        </w:trPr>
        <w:tc>
          <w:tcPr>
            <w:tcW w:w="3928" w:type="dxa"/>
          </w:tcPr>
          <w:p>
            <w:pPr>
              <w:jc w:val="left"/>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其他重大事项</w:t>
            </w:r>
          </w:p>
        </w:tc>
        <w:tc>
          <w:tcPr>
            <w:tcW w:w="1312" w:type="dxa"/>
          </w:tcPr>
          <w:p>
            <w:pPr>
              <w:jc w:val="left"/>
              <w:rPr>
                <w:rFonts w:asciiTheme="minorEastAsia" w:hAnsiTheme="minorEastAsia"/>
                <w:color w:val="000000" w:themeColor="text1"/>
                <w:sz w:val="22"/>
                <w14:textFill>
                  <w14:solidFill>
                    <w14:schemeClr w14:val="tx1"/>
                  </w14:solidFill>
                </w14:textFill>
              </w:rPr>
            </w:pPr>
          </w:p>
        </w:tc>
        <w:tc>
          <w:tcPr>
            <w:tcW w:w="1665"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c>
          <w:tcPr>
            <w:tcW w:w="1367" w:type="dxa"/>
          </w:tcPr>
          <w:p>
            <w:pPr>
              <w:jc w:val="left"/>
              <w:rPr>
                <w:rFonts w:asciiTheme="minorEastAsia" w:hAnsiTheme="minorEastAsia"/>
                <w:color w:val="000000" w:themeColor="text1"/>
                <w:sz w:val="22"/>
                <w14:textFill>
                  <w14:solidFill>
                    <w14:schemeClr w14:val="tx1"/>
                  </w14:solidFill>
                </w14:textFill>
              </w:rPr>
            </w:pPr>
          </w:p>
        </w:tc>
      </w:tr>
    </w:tbl>
    <w:p>
      <w:pPr>
        <w:tabs>
          <w:tab w:val="left" w:pos="5140"/>
        </w:tabs>
        <w:rPr>
          <w:rFonts w:cs="Times New Roman" w:asciiTheme="minorEastAsia" w:hAnsiTheme="minorEastAsia"/>
          <w:i/>
          <w:color w:val="FF0000"/>
          <w:szCs w:val="21"/>
        </w:rPr>
      </w:pPr>
      <w:r>
        <w:rPr>
          <w:rFonts w:hint="eastAsia" w:cs="Times New Roman" w:asciiTheme="minorEastAsia" w:hAnsiTheme="minorEastAsia"/>
          <w:i/>
          <w:color w:val="FF0000"/>
          <w:szCs w:val="21"/>
        </w:rPr>
        <w:t>注</w:t>
      </w:r>
      <w:r>
        <w:rPr>
          <w:rFonts w:cs="Times New Roman" w:asciiTheme="minorEastAsia" w:hAnsiTheme="minorEastAsia"/>
          <w:i/>
          <w:color w:val="FF0000"/>
          <w:szCs w:val="21"/>
        </w:rPr>
        <w:t>：</w:t>
      </w:r>
    </w:p>
    <w:p>
      <w:pPr>
        <w:pStyle w:val="64"/>
        <w:numPr>
          <w:ilvl w:val="0"/>
          <w:numId w:val="2"/>
        </w:numPr>
        <w:tabs>
          <w:tab w:val="left" w:pos="5140"/>
        </w:tabs>
        <w:ind w:firstLineChars="0"/>
        <w:rPr>
          <w:rFonts w:asciiTheme="minorEastAsia" w:hAnsiTheme="minorEastAsia"/>
          <w:i/>
          <w:color w:val="FF0000"/>
          <w:szCs w:val="21"/>
        </w:rPr>
      </w:pPr>
      <w:r>
        <w:rPr>
          <w:rFonts w:hint="eastAsia" w:asciiTheme="minorEastAsia" w:hAnsiTheme="minorEastAsia"/>
          <w:i/>
          <w:color w:val="FF0000"/>
          <w:szCs w:val="21"/>
        </w:rPr>
        <w:t>如报告期内某一重大事项多次发生的，只要有一次未经内部审议程序的，相应表格中要填</w:t>
      </w:r>
      <w:r>
        <w:rPr>
          <w:rFonts w:asciiTheme="minorEastAsia" w:hAnsiTheme="minorEastAsia"/>
          <w:i/>
          <w:color w:val="FF0000"/>
          <w:szCs w:val="21"/>
        </w:rPr>
        <w:t>“</w:t>
      </w:r>
      <w:r>
        <w:rPr>
          <w:rFonts w:hint="eastAsia" w:asciiTheme="minorEastAsia" w:hAnsiTheme="minorEastAsia"/>
          <w:i/>
          <w:color w:val="FF0000"/>
          <w:sz w:val="22"/>
        </w:rPr>
        <w:t>已事后补充履行</w:t>
      </w:r>
      <w:r>
        <w:rPr>
          <w:rFonts w:asciiTheme="minorEastAsia" w:hAnsiTheme="minorEastAsia"/>
          <w:i/>
          <w:color w:val="FF0000"/>
          <w:szCs w:val="21"/>
        </w:rPr>
        <w:t>”</w:t>
      </w:r>
      <w:r>
        <w:rPr>
          <w:rFonts w:hint="eastAsia" w:asciiTheme="minorEastAsia" w:hAnsiTheme="minorEastAsia"/>
          <w:i/>
          <w:color w:val="FF0000"/>
          <w:szCs w:val="21"/>
        </w:rPr>
        <w:t>、</w:t>
      </w:r>
      <w:r>
        <w:rPr>
          <w:rFonts w:asciiTheme="minorEastAsia" w:hAnsiTheme="minorEastAsia"/>
          <w:i/>
          <w:color w:val="FF0000"/>
          <w:szCs w:val="21"/>
        </w:rPr>
        <w:t>“</w:t>
      </w:r>
      <w:r>
        <w:rPr>
          <w:rFonts w:hint="eastAsia" w:asciiTheme="minorEastAsia" w:hAnsiTheme="minorEastAsia"/>
          <w:i/>
          <w:color w:val="FF0000"/>
          <w:sz w:val="22"/>
        </w:rPr>
        <w:t>尚未履行</w:t>
      </w:r>
      <w:r>
        <w:rPr>
          <w:rFonts w:asciiTheme="minorEastAsia" w:hAnsiTheme="minorEastAsia"/>
          <w:i/>
          <w:color w:val="FF0000"/>
          <w:szCs w:val="21"/>
        </w:rPr>
        <w:t>”</w:t>
      </w:r>
      <w:r>
        <w:rPr>
          <w:rFonts w:hint="eastAsia" w:asciiTheme="minorEastAsia" w:hAnsiTheme="minorEastAsia"/>
          <w:i/>
          <w:color w:val="FF0000"/>
          <w:szCs w:val="21"/>
        </w:rPr>
        <w:t>；只要有一次未及时履行披露义务的，相应表格中要填</w:t>
      </w:r>
      <w:r>
        <w:rPr>
          <w:rFonts w:asciiTheme="minorEastAsia" w:hAnsiTheme="minorEastAsia"/>
          <w:i/>
          <w:color w:val="FF0000"/>
          <w:szCs w:val="21"/>
        </w:rPr>
        <w:t>“</w:t>
      </w:r>
      <w:r>
        <w:rPr>
          <w:rFonts w:hint="eastAsia" w:asciiTheme="minorEastAsia" w:hAnsiTheme="minorEastAsia"/>
          <w:i/>
          <w:color w:val="FF0000"/>
          <w:szCs w:val="21"/>
        </w:rPr>
        <w:t>否</w:t>
      </w:r>
      <w:r>
        <w:rPr>
          <w:rFonts w:asciiTheme="minorEastAsia" w:hAnsiTheme="minorEastAsia"/>
          <w:i/>
          <w:color w:val="FF0000"/>
          <w:szCs w:val="21"/>
        </w:rPr>
        <w:t>”</w:t>
      </w:r>
      <w:r>
        <w:rPr>
          <w:rFonts w:hint="eastAsia" w:asciiTheme="minorEastAsia" w:hAnsiTheme="minorEastAsia"/>
          <w:i/>
          <w:color w:val="FF0000"/>
          <w:szCs w:val="21"/>
        </w:rPr>
        <w:t>。具体违规事项在下面方框中作详细说明；</w:t>
      </w:r>
    </w:p>
    <w:p>
      <w:pPr>
        <w:pStyle w:val="64"/>
        <w:numPr>
          <w:ilvl w:val="0"/>
          <w:numId w:val="2"/>
        </w:numPr>
        <w:tabs>
          <w:tab w:val="left" w:pos="5140"/>
        </w:tabs>
        <w:ind w:firstLineChars="0"/>
        <w:rPr>
          <w:rFonts w:asciiTheme="minorEastAsia" w:hAnsiTheme="minorEastAsia"/>
          <w:i/>
          <w:color w:val="FF0000"/>
          <w:szCs w:val="21"/>
        </w:rPr>
      </w:pPr>
      <w:r>
        <w:rPr>
          <w:rFonts w:hint="eastAsia" w:asciiTheme="minorEastAsia" w:hAnsiTheme="minorEastAsia"/>
          <w:i/>
          <w:color w:val="FF0000"/>
          <w:szCs w:val="21"/>
        </w:rPr>
        <w:t>重大事项包含报告期发生内或以前期间发生但延续到报告期的重大事项；</w:t>
      </w:r>
    </w:p>
    <w:p>
      <w:pPr>
        <w:tabs>
          <w:tab w:val="left" w:pos="5140"/>
        </w:tabs>
        <w:rPr>
          <w:rFonts w:cs="Times New Roman" w:asciiTheme="minorEastAsia" w:hAnsiTheme="minorEastAsia"/>
          <w:i/>
          <w:color w:val="FF0000"/>
          <w:szCs w:val="21"/>
        </w:rPr>
      </w:pPr>
      <w:r>
        <w:rPr>
          <w:rFonts w:cs="Times New Roman" w:asciiTheme="minorEastAsia" w:hAnsiTheme="minorEastAsia"/>
          <w:i/>
          <w:color w:val="FF0000"/>
          <w:szCs w:val="21"/>
        </w:rPr>
        <w:t>3</w:t>
      </w:r>
      <w:r>
        <w:rPr>
          <w:rFonts w:hint="eastAsia" w:cs="Times New Roman" w:asciiTheme="minorEastAsia" w:hAnsiTheme="minorEastAsia"/>
          <w:i/>
          <w:color w:val="FF0000"/>
          <w:szCs w:val="21"/>
        </w:rPr>
        <w:t>、日常性关联交易，是指上市公司和关联方之间发生的购买原材料、燃料、动力，出售产品、商品，提供或者接受劳务等与日常经营相关的交易行为；公司章程中约定适用于本公司的日常关联交易类型；</w:t>
      </w:r>
    </w:p>
    <w:p>
      <w:pPr>
        <w:tabs>
          <w:tab w:val="left" w:pos="5140"/>
        </w:tabs>
        <w:rPr>
          <w:rFonts w:asciiTheme="minorEastAsia" w:hAnsiTheme="minorEastAsia"/>
          <w:i/>
          <w:color w:val="FF0000"/>
          <w:szCs w:val="44"/>
        </w:rPr>
      </w:pPr>
      <w:r>
        <w:rPr>
          <w:rFonts w:cs="Times New Roman" w:asciiTheme="minorEastAsia" w:hAnsiTheme="minorEastAsia"/>
          <w:i/>
          <w:color w:val="FF0000"/>
          <w:szCs w:val="21"/>
        </w:rPr>
        <w:t>4</w:t>
      </w:r>
      <w:r>
        <w:rPr>
          <w:rFonts w:hint="eastAsia" w:cs="Times New Roman" w:asciiTheme="minorEastAsia" w:hAnsiTheme="minorEastAsia"/>
          <w:i/>
          <w:color w:val="FF0000"/>
          <w:szCs w:val="21"/>
        </w:rPr>
        <w:t>、</w:t>
      </w:r>
      <w:r>
        <w:rPr>
          <w:rFonts w:asciiTheme="minorEastAsia" w:hAnsiTheme="minorEastAsia"/>
          <w:i/>
          <w:color w:val="FF0000"/>
          <w:szCs w:val="44"/>
        </w:rPr>
        <w:t>被调查处罚事项</w:t>
      </w:r>
      <w:r>
        <w:rPr>
          <w:rFonts w:hint="eastAsia" w:asciiTheme="minorEastAsia" w:hAnsiTheme="minorEastAsia"/>
          <w:i/>
          <w:color w:val="FF0000"/>
          <w:szCs w:val="44"/>
        </w:rPr>
        <w:t>是</w:t>
      </w:r>
      <w:r>
        <w:rPr>
          <w:rFonts w:asciiTheme="minorEastAsia" w:hAnsiTheme="minorEastAsia"/>
          <w:i/>
          <w:color w:val="FF0000"/>
          <w:szCs w:val="44"/>
        </w:rPr>
        <w:t>指</w:t>
      </w:r>
      <w:r>
        <w:rPr>
          <w:rFonts w:hint="eastAsia" w:asciiTheme="minorEastAsia" w:hAnsiTheme="minorEastAsia"/>
          <w:i/>
          <w:color w:val="FF0000"/>
          <w:szCs w:val="44"/>
        </w:rPr>
        <w:t>:</w:t>
      </w:r>
    </w:p>
    <w:p>
      <w:pPr>
        <w:tabs>
          <w:tab w:val="left" w:pos="5140"/>
        </w:tabs>
        <w:rPr>
          <w:rFonts w:asciiTheme="minorEastAsia" w:hAnsiTheme="minorEastAsia"/>
          <w:i/>
          <w:color w:val="FF0000"/>
          <w:szCs w:val="44"/>
        </w:rPr>
      </w:pPr>
      <w:r>
        <w:rPr>
          <w:rFonts w:hint="eastAsia" w:asciiTheme="minorEastAsia" w:hAnsiTheme="minorEastAsia"/>
          <w:i/>
          <w:color w:val="FF0000"/>
          <w:szCs w:val="44"/>
        </w:rPr>
        <w:t>（1）公司涉嫌违法违规被中国证监会或其他有权机关调查，被移送司法机关或追究刑事责任，被中国证监会采取行政监管措施或行政处罚，或受到其他对公司生产经营有重大影响的行政处罚；</w:t>
      </w:r>
    </w:p>
    <w:p>
      <w:pPr>
        <w:tabs>
          <w:tab w:val="left" w:pos="5140"/>
        </w:tabs>
        <w:rPr>
          <w:rFonts w:asciiTheme="minorEastAsia" w:hAnsiTheme="minorEastAsia"/>
          <w:i/>
          <w:color w:val="FF0000"/>
          <w:szCs w:val="44"/>
        </w:rPr>
      </w:pPr>
      <w:r>
        <w:rPr>
          <w:rFonts w:hint="eastAsia" w:asciiTheme="minorEastAsia" w:hAnsiTheme="minorEastAsia"/>
          <w:i/>
          <w:color w:val="FF0000"/>
          <w:szCs w:val="44"/>
        </w:rPr>
        <w:t>（2）公司董事、监事、高级管理人员、控股股东或实际控制人涉嫌违法违规被中国证监会或其他有权机关调查、采取留置措施或强制措施或者追究重大刑事责任，被中国证监会处以证券市场禁入、认定为不适当人员，受到对公司生产经营有重大影响的行政处罚；</w:t>
      </w:r>
    </w:p>
    <w:p>
      <w:pPr>
        <w:tabs>
          <w:tab w:val="left" w:pos="5140"/>
        </w:tabs>
        <w:rPr>
          <w:rFonts w:asciiTheme="minorEastAsia" w:hAnsiTheme="minorEastAsia"/>
          <w:i/>
          <w:color w:val="FF0000"/>
          <w:szCs w:val="44"/>
        </w:rPr>
      </w:pPr>
      <w:r>
        <w:rPr>
          <w:rFonts w:asciiTheme="minorEastAsia" w:hAnsiTheme="minorEastAsia"/>
          <w:i/>
          <w:color w:val="FF0000"/>
          <w:szCs w:val="44"/>
        </w:rPr>
        <w:t>5</w:t>
      </w:r>
      <w:r>
        <w:rPr>
          <w:rFonts w:hint="eastAsia" w:asciiTheme="minorEastAsia" w:hAnsiTheme="minorEastAsia"/>
          <w:i/>
          <w:color w:val="FF0000"/>
          <w:szCs w:val="44"/>
        </w:rPr>
        <w:t>、</w:t>
      </w:r>
      <w:r>
        <w:rPr>
          <w:rFonts w:asciiTheme="minorEastAsia" w:hAnsiTheme="minorEastAsia"/>
          <w:i/>
          <w:color w:val="FF0000"/>
          <w:szCs w:val="44"/>
        </w:rPr>
        <w:t>失信情况是指</w:t>
      </w:r>
      <w:r>
        <w:rPr>
          <w:rFonts w:hint="eastAsia" w:asciiTheme="minorEastAsia" w:hAnsiTheme="minorEastAsia"/>
          <w:i/>
          <w:color w:val="FF0000"/>
          <w:szCs w:val="44"/>
        </w:rPr>
        <w:t>：报告期内上市公司及其控股股东、实际控制人、董事、监事、高级管理人员以及</w:t>
      </w:r>
      <w:r>
        <w:rPr>
          <w:rFonts w:asciiTheme="minorEastAsia" w:hAnsiTheme="minorEastAsia"/>
          <w:i/>
          <w:color w:val="FF0000"/>
          <w:szCs w:val="44"/>
        </w:rPr>
        <w:t>控股</w:t>
      </w:r>
      <w:r>
        <w:rPr>
          <w:rFonts w:hint="eastAsia" w:asciiTheme="minorEastAsia" w:hAnsiTheme="minorEastAsia"/>
          <w:i/>
          <w:color w:val="FF0000"/>
          <w:szCs w:val="44"/>
        </w:rPr>
        <w:t>子公司是否被纳入失信联合惩戒对象的</w:t>
      </w:r>
      <w:r>
        <w:rPr>
          <w:rFonts w:asciiTheme="minorEastAsia" w:hAnsiTheme="minorEastAsia"/>
          <w:i/>
          <w:color w:val="FF0000"/>
          <w:szCs w:val="44"/>
        </w:rPr>
        <w:t>情况</w:t>
      </w:r>
      <w:r>
        <w:rPr>
          <w:rFonts w:hint="eastAsia" w:asciiTheme="minorEastAsia" w:hAnsiTheme="minorEastAsia"/>
          <w:i/>
          <w:color w:val="FF0000"/>
          <w:szCs w:val="44"/>
        </w:rPr>
        <w:t>。</w:t>
      </w:r>
    </w:p>
    <w:p>
      <w:pPr>
        <w:rPr>
          <w:b/>
        </w:rPr>
      </w:pPr>
      <w:r>
        <w:rPr>
          <w:rFonts w:hint="eastAsia"/>
          <w:b/>
        </w:rPr>
        <w:t>重大事项</w:t>
      </w:r>
      <w:r>
        <w:rPr>
          <w:b/>
        </w:rPr>
        <w:t>详情</w:t>
      </w:r>
      <w:r>
        <w:rPr>
          <w:rFonts w:hint="eastAsia"/>
          <w:b/>
        </w:rPr>
        <w:t>、进展情况</w:t>
      </w:r>
      <w:r>
        <w:rPr>
          <w:b/>
        </w:rPr>
        <w:t>及其他重</w:t>
      </w:r>
      <w:r>
        <w:rPr>
          <w:rFonts w:hint="eastAsia"/>
          <w:b/>
        </w:rPr>
        <w:t>大</w:t>
      </w:r>
      <w:r>
        <w:rPr>
          <w:b/>
        </w:rPr>
        <w:t>事项</w:t>
      </w:r>
    </w:p>
    <w:p>
      <w:r>
        <w:rPr>
          <w:rFonts w:hint="eastAsia"/>
        </w:rPr>
        <w:t xml:space="preserve">□  适用  </w:t>
      </w:r>
      <w:r>
        <w:t xml:space="preserve">   </w:t>
      </w:r>
      <w:r>
        <w:rPr>
          <w:rFonts w:hint="eastAsia"/>
        </w:rPr>
        <w:t>□  不适用</w:t>
      </w:r>
      <w:r>
        <w:t xml:space="preserve"> </w:t>
      </w:r>
    </w:p>
    <w:tbl>
      <w:tblPr>
        <w:tblStyle w:val="47"/>
        <w:tblW w:w="9639"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96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87" w:hRule="atLeast"/>
        </w:trPr>
        <w:tc>
          <w:tcPr>
            <w:tcW w:w="9639" w:type="dxa"/>
          </w:tcPr>
          <w:p>
            <w:pPr>
              <w:rPr>
                <w:rFonts w:cs="Times New Roman" w:asciiTheme="minorEastAsia" w:hAnsiTheme="minorEastAsia"/>
                <w:i/>
                <w:color w:val="FF0000"/>
                <w:szCs w:val="21"/>
              </w:rPr>
            </w:pPr>
            <w:r>
              <w:rPr>
                <w:rFonts w:hint="eastAsia" w:cs="Times New Roman" w:asciiTheme="minorEastAsia" w:hAnsiTheme="minorEastAsia"/>
                <w:i/>
                <w:color w:val="FF0000"/>
                <w:szCs w:val="21"/>
              </w:rPr>
              <w:t>此处</w:t>
            </w:r>
            <w:r>
              <w:rPr>
                <w:rFonts w:cs="Times New Roman" w:asciiTheme="minorEastAsia" w:hAnsiTheme="minorEastAsia"/>
                <w:i/>
                <w:color w:val="FF0000"/>
                <w:szCs w:val="21"/>
              </w:rPr>
              <w:t>披露的内容包括：</w:t>
            </w:r>
          </w:p>
          <w:p>
            <w:pPr>
              <w:rPr>
                <w:rFonts w:cs="Times New Roman" w:asciiTheme="minorEastAsia" w:hAnsiTheme="minorEastAsia"/>
                <w:i/>
                <w:color w:val="FF0000"/>
                <w:szCs w:val="21"/>
              </w:rPr>
            </w:pPr>
            <w:r>
              <w:rPr>
                <w:rFonts w:hint="eastAsia" w:cs="Times New Roman" w:asciiTheme="minorEastAsia" w:hAnsiTheme="minorEastAsia"/>
                <w:i/>
                <w:color w:val="FF0000"/>
                <w:szCs w:val="21"/>
              </w:rPr>
              <w:t>（1）如果存在未经</w:t>
            </w:r>
            <w:r>
              <w:rPr>
                <w:rFonts w:cs="Times New Roman" w:asciiTheme="minorEastAsia" w:hAnsiTheme="minorEastAsia"/>
                <w:i/>
                <w:color w:val="FF0000"/>
                <w:szCs w:val="21"/>
              </w:rPr>
              <w:t>内部审议</w:t>
            </w:r>
            <w:r>
              <w:rPr>
                <w:rFonts w:hint="eastAsia" w:cs="Times New Roman" w:asciiTheme="minorEastAsia" w:hAnsiTheme="minorEastAsia"/>
                <w:i/>
                <w:color w:val="FF0000"/>
                <w:szCs w:val="21"/>
              </w:rPr>
              <w:t>程序</w:t>
            </w:r>
            <w:r>
              <w:rPr>
                <w:rFonts w:cs="Times New Roman" w:asciiTheme="minorEastAsia" w:hAnsiTheme="minorEastAsia"/>
                <w:i/>
                <w:color w:val="FF0000"/>
                <w:szCs w:val="21"/>
              </w:rPr>
              <w:t>审议或未及时履行披露</w:t>
            </w:r>
            <w:r>
              <w:rPr>
                <w:rFonts w:hint="eastAsia" w:cs="Times New Roman" w:asciiTheme="minorEastAsia" w:hAnsiTheme="minorEastAsia"/>
                <w:i/>
                <w:color w:val="FF0000"/>
                <w:szCs w:val="21"/>
              </w:rPr>
              <w:t>义务</w:t>
            </w:r>
            <w:r>
              <w:rPr>
                <w:rFonts w:cs="Times New Roman" w:asciiTheme="minorEastAsia" w:hAnsiTheme="minorEastAsia"/>
                <w:i/>
                <w:color w:val="FF0000"/>
                <w:szCs w:val="21"/>
              </w:rPr>
              <w:t>的</w:t>
            </w:r>
            <w:r>
              <w:rPr>
                <w:rFonts w:hint="eastAsia" w:cs="Times New Roman" w:asciiTheme="minorEastAsia" w:hAnsiTheme="minorEastAsia"/>
                <w:i/>
                <w:color w:val="FF0000"/>
                <w:szCs w:val="21"/>
              </w:rPr>
              <w:t>重大事项</w:t>
            </w:r>
            <w:r>
              <w:rPr>
                <w:rFonts w:cs="Times New Roman" w:asciiTheme="minorEastAsia" w:hAnsiTheme="minorEastAsia"/>
                <w:i/>
                <w:color w:val="FF0000"/>
                <w:szCs w:val="21"/>
              </w:rPr>
              <w:t>，需要</w:t>
            </w:r>
            <w:r>
              <w:rPr>
                <w:rFonts w:hint="eastAsia" w:cs="Times New Roman" w:asciiTheme="minorEastAsia" w:hAnsiTheme="minorEastAsia"/>
                <w:i/>
                <w:color w:val="FF0000"/>
                <w:szCs w:val="21"/>
              </w:rPr>
              <w:t>按</w:t>
            </w:r>
            <w:r>
              <w:rPr>
                <w:rFonts w:cs="Times New Roman" w:asciiTheme="minorEastAsia" w:hAnsiTheme="minorEastAsia"/>
                <w:i/>
                <w:color w:val="FF0000"/>
                <w:szCs w:val="21"/>
              </w:rPr>
              <w:t>重大事项的</w:t>
            </w:r>
            <w:r>
              <w:rPr>
                <w:rFonts w:hint="eastAsia" w:cs="Times New Roman" w:asciiTheme="minorEastAsia" w:hAnsiTheme="minorEastAsia"/>
                <w:i/>
                <w:color w:val="FF0000"/>
                <w:szCs w:val="21"/>
              </w:rPr>
              <w:t>不同性质</w:t>
            </w:r>
            <w:r>
              <w:rPr>
                <w:rFonts w:cs="Times New Roman" w:asciiTheme="minorEastAsia" w:hAnsiTheme="minorEastAsia"/>
                <w:i/>
                <w:color w:val="FF0000"/>
                <w:szCs w:val="21"/>
              </w:rPr>
              <w:t>分类</w:t>
            </w:r>
            <w:r>
              <w:rPr>
                <w:rFonts w:hint="eastAsia" w:cs="Times New Roman" w:asciiTheme="minorEastAsia" w:hAnsiTheme="minorEastAsia"/>
                <w:i/>
                <w:color w:val="FF0000"/>
                <w:szCs w:val="21"/>
              </w:rPr>
              <w:t>详细说明；</w:t>
            </w:r>
          </w:p>
          <w:p>
            <w:pPr>
              <w:rPr>
                <w:rFonts w:cs="Times New Roman" w:asciiTheme="minorEastAsia" w:hAnsiTheme="minorEastAsia"/>
                <w:i/>
                <w:color w:val="FF0000"/>
                <w:szCs w:val="21"/>
              </w:rPr>
            </w:pPr>
            <w:r>
              <w:rPr>
                <w:rFonts w:hint="eastAsia" w:cs="Times New Roman" w:asciiTheme="minorEastAsia" w:hAnsiTheme="minorEastAsia"/>
                <w:i/>
                <w:color w:val="FF0000"/>
                <w:szCs w:val="21"/>
              </w:rPr>
              <w:t>（2）若前述重大事项对本报告期或以后期间的公司财务状况和经营成果产生重大影响，对投资者投资决策产生重大影响，应当披露该重大事项进展情况，并说明其影响和解决方案。公司已在临时报告披露且无后续进展的，仅需披露该事项概述，并提供临时报告披露网站的查询索引；</w:t>
            </w:r>
          </w:p>
          <w:p>
            <w:pPr>
              <w:tabs>
                <w:tab w:val="left" w:pos="5140"/>
              </w:tabs>
              <w:rPr>
                <w:rFonts w:asciiTheme="minorEastAsia" w:hAnsiTheme="minorEastAsia"/>
                <w:i/>
                <w:color w:val="000000" w:themeColor="text1"/>
                <w:szCs w:val="44"/>
                <w14:textFill>
                  <w14:solidFill>
                    <w14:schemeClr w14:val="tx1"/>
                  </w14:solidFill>
                </w14:textFill>
              </w:rPr>
            </w:pPr>
            <w:r>
              <w:rPr>
                <w:rFonts w:cs="Times New Roman" w:asciiTheme="minorEastAsia" w:hAnsiTheme="minorEastAsia"/>
                <w:i/>
                <w:color w:val="FF0000"/>
                <w:szCs w:val="21"/>
              </w:rPr>
              <w:t>（3）</w:t>
            </w:r>
            <w:r>
              <w:rPr>
                <w:rFonts w:hint="eastAsia" w:asciiTheme="minorEastAsia" w:hAnsiTheme="minorEastAsia"/>
                <w:i/>
                <w:color w:val="FF0000"/>
                <w:szCs w:val="44"/>
              </w:rPr>
              <w:t>公司应当披露其他发生可能对上市公司股票或其他证券品种交易价格产生较大影响，或者对投资者作出投资决策有较大影响的重大事件，以及公司董事会判断为重大事件的事项。</w:t>
            </w:r>
          </w:p>
        </w:tc>
      </w:tr>
    </w:tbl>
    <w:p>
      <w:pPr>
        <w:ind w:left="-567" w:leftChars="-270" w:firstLine="552" w:firstLineChars="250"/>
        <w:outlineLvl w:val="1"/>
        <w:rPr>
          <w:rFonts w:ascii="微软雅黑" w:hAnsi="微软雅黑" w:eastAsia="微软雅黑"/>
          <w:b/>
          <w:color w:val="000000" w:themeColor="text1"/>
          <w:sz w:val="22"/>
          <w:szCs w:val="44"/>
          <w14:textFill>
            <w14:solidFill>
              <w14:schemeClr w14:val="tx1"/>
            </w14:solidFill>
          </w14:textFill>
        </w:rPr>
      </w:pPr>
      <w:r>
        <w:rPr>
          <w:rFonts w:hint="eastAsia" w:ascii="微软雅黑" w:hAnsi="微软雅黑" w:eastAsia="微软雅黑"/>
          <w:b/>
          <w:color w:val="000000" w:themeColor="text1"/>
          <w:sz w:val="22"/>
          <w:szCs w:val="44"/>
          <w14:textFill>
            <w14:solidFill>
              <w14:schemeClr w14:val="tx1"/>
            </w14:solidFill>
          </w14:textFill>
        </w:rPr>
        <w:t>二、利润分配与</w:t>
      </w:r>
      <w:r>
        <w:rPr>
          <w:rFonts w:ascii="微软雅黑" w:hAnsi="微软雅黑" w:eastAsia="微软雅黑"/>
          <w:b/>
          <w:color w:val="000000" w:themeColor="text1"/>
          <w:sz w:val="22"/>
          <w:szCs w:val="44"/>
          <w14:textFill>
            <w14:solidFill>
              <w14:schemeClr w14:val="tx1"/>
            </w14:solidFill>
          </w14:textFill>
        </w:rPr>
        <w:t>公积金转增股本的情况</w:t>
      </w:r>
    </w:p>
    <w:p>
      <w:pPr>
        <w:tabs>
          <w:tab w:val="left" w:pos="5140"/>
        </w:tabs>
        <w:jc w:val="left"/>
        <w:rPr>
          <w:rFonts w:ascii="宋体" w:hAnsi="宋体" w:eastAsia="宋体" w:cs="Times New Roman"/>
          <w:b/>
          <w:color w:val="000000"/>
          <w:sz w:val="22"/>
        </w:rPr>
      </w:pPr>
      <w:r>
        <w:rPr>
          <w:rFonts w:hint="eastAsia" w:ascii="宋体" w:hAnsi="宋体" w:eastAsia="宋体" w:cs="Times New Roman"/>
          <w:b/>
          <w:color w:val="000000"/>
          <w:sz w:val="22"/>
        </w:rPr>
        <w:t>1. 报告期内实施的利润分配与</w:t>
      </w:r>
      <w:r>
        <w:rPr>
          <w:rFonts w:ascii="宋体" w:hAnsi="宋体" w:eastAsia="宋体" w:cs="Times New Roman"/>
          <w:b/>
          <w:color w:val="000000"/>
          <w:sz w:val="22"/>
        </w:rPr>
        <w:t>公积金转增</w:t>
      </w:r>
      <w:r>
        <w:rPr>
          <w:rFonts w:hint="eastAsia" w:ascii="宋体" w:hAnsi="宋体" w:eastAsia="宋体" w:cs="Times New Roman"/>
          <w:b/>
          <w:color w:val="000000"/>
          <w:sz w:val="22"/>
        </w:rPr>
        <w:t>股本情况</w:t>
      </w:r>
    </w:p>
    <w:p>
      <w:r>
        <w:rPr>
          <w:rFonts w:hint="eastAsia"/>
        </w:rPr>
        <w:t xml:space="preserve">□  适用  </w:t>
      </w:r>
      <w:r>
        <w:t xml:space="preserve">   </w:t>
      </w:r>
      <w:r>
        <w:rPr>
          <w:rFonts w:hint="eastAsia"/>
        </w:rPr>
        <w:t>□  不适用</w:t>
      </w:r>
    </w:p>
    <w:p>
      <w:pPr>
        <w:tabs>
          <w:tab w:val="left" w:pos="5140"/>
        </w:tabs>
        <w:jc w:val="right"/>
        <w:rPr>
          <w:rFonts w:ascii="宋体" w:hAnsi="宋体" w:eastAsia="宋体" w:cs="Times New Roman"/>
          <w:color w:val="000000"/>
          <w:szCs w:val="21"/>
        </w:rPr>
      </w:pPr>
      <w:r>
        <w:rPr>
          <w:rFonts w:hint="eastAsia" w:ascii="宋体" w:hAnsi="宋体" w:eastAsia="宋体" w:cs="Times New Roman"/>
          <w:color w:val="000000"/>
          <w:szCs w:val="21"/>
        </w:rPr>
        <w:t>单位：元或股</w:t>
      </w:r>
    </w:p>
    <w:tbl>
      <w:tblPr>
        <w:tblStyle w:val="120"/>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624"/>
        <w:gridCol w:w="2338"/>
        <w:gridCol w:w="2338"/>
        <w:gridCol w:w="23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624" w:type="dxa"/>
            <w:shd w:val="pct10" w:color="auto" w:fill="auto"/>
            <w:vAlign w:val="center"/>
          </w:tcPr>
          <w:p>
            <w:pPr>
              <w:tabs>
                <w:tab w:val="left" w:pos="5140"/>
              </w:tabs>
              <w:jc w:val="center"/>
              <w:rPr>
                <w:rFonts w:ascii="宋体" w:hAnsi="宋体" w:eastAsia="宋体" w:cs="Times New Roman"/>
                <w:b/>
                <w:color w:val="000000"/>
                <w:sz w:val="22"/>
              </w:rPr>
            </w:pPr>
            <w:r>
              <w:rPr>
                <w:rFonts w:hint="eastAsia" w:ascii="宋体" w:hAnsi="宋体" w:eastAsia="宋体" w:cs="Times New Roman"/>
                <w:b/>
                <w:color w:val="000000"/>
                <w:sz w:val="22"/>
              </w:rPr>
              <w:t>权益分派</w:t>
            </w:r>
            <w:r>
              <w:rPr>
                <w:rFonts w:ascii="宋体" w:hAnsi="宋体" w:eastAsia="宋体" w:cs="Times New Roman"/>
                <w:b/>
                <w:color w:val="000000"/>
                <w:sz w:val="22"/>
              </w:rPr>
              <w:t>日期</w:t>
            </w:r>
          </w:p>
        </w:tc>
        <w:tc>
          <w:tcPr>
            <w:tcW w:w="2338" w:type="dxa"/>
            <w:shd w:val="pct10" w:color="auto" w:fill="auto"/>
            <w:vAlign w:val="center"/>
          </w:tcPr>
          <w:p>
            <w:pPr>
              <w:tabs>
                <w:tab w:val="left" w:pos="5140"/>
              </w:tabs>
              <w:jc w:val="center"/>
              <w:rPr>
                <w:rFonts w:ascii="宋体" w:hAnsi="宋体" w:eastAsia="宋体" w:cs="Times New Roman"/>
                <w:b/>
                <w:color w:val="000000"/>
                <w:sz w:val="22"/>
              </w:rPr>
            </w:pPr>
            <w:r>
              <w:rPr>
                <w:rFonts w:hint="eastAsia" w:ascii="宋体" w:hAnsi="宋体" w:eastAsia="宋体" w:cs="Times New Roman"/>
                <w:b/>
                <w:color w:val="000000"/>
                <w:sz w:val="22"/>
              </w:rPr>
              <w:t>每</w:t>
            </w:r>
            <w:r>
              <w:rPr>
                <w:rFonts w:ascii="宋体" w:hAnsi="宋体" w:eastAsia="宋体" w:cs="Times New Roman"/>
                <w:b/>
                <w:color w:val="000000"/>
                <w:sz w:val="22"/>
              </w:rPr>
              <w:t>10股派现数</w:t>
            </w:r>
          </w:p>
          <w:p>
            <w:pPr>
              <w:tabs>
                <w:tab w:val="left" w:pos="5140"/>
              </w:tabs>
              <w:jc w:val="center"/>
              <w:rPr>
                <w:rFonts w:ascii="宋体" w:hAnsi="宋体" w:eastAsia="宋体" w:cs="Times New Roman"/>
                <w:b/>
                <w:color w:val="000000"/>
                <w:sz w:val="22"/>
              </w:rPr>
            </w:pPr>
            <w:r>
              <w:rPr>
                <w:rFonts w:hint="eastAsia" w:ascii="宋体" w:hAnsi="宋体" w:eastAsia="宋体" w:cs="Times New Roman"/>
                <w:b/>
                <w:color w:val="000000"/>
                <w:sz w:val="22"/>
              </w:rPr>
              <w:t>（含税</w:t>
            </w:r>
            <w:r>
              <w:rPr>
                <w:rFonts w:ascii="宋体" w:hAnsi="宋体" w:eastAsia="宋体" w:cs="Times New Roman"/>
                <w:b/>
                <w:color w:val="000000"/>
                <w:sz w:val="22"/>
              </w:rPr>
              <w:t>）</w:t>
            </w:r>
          </w:p>
        </w:tc>
        <w:tc>
          <w:tcPr>
            <w:tcW w:w="2338" w:type="dxa"/>
            <w:shd w:val="pct10" w:color="auto" w:fill="auto"/>
            <w:vAlign w:val="center"/>
          </w:tcPr>
          <w:p>
            <w:pPr>
              <w:tabs>
                <w:tab w:val="left" w:pos="5140"/>
              </w:tabs>
              <w:jc w:val="center"/>
              <w:rPr>
                <w:rFonts w:ascii="宋体" w:hAnsi="宋体" w:eastAsia="宋体" w:cs="Times New Roman"/>
                <w:b/>
                <w:color w:val="000000"/>
                <w:sz w:val="22"/>
              </w:rPr>
            </w:pPr>
            <w:r>
              <w:rPr>
                <w:rFonts w:hint="eastAsia" w:ascii="宋体" w:hAnsi="宋体" w:eastAsia="宋体" w:cs="Times New Roman"/>
                <w:b/>
                <w:color w:val="000000"/>
                <w:sz w:val="22"/>
              </w:rPr>
              <w:t>每</w:t>
            </w:r>
            <w:r>
              <w:rPr>
                <w:rFonts w:ascii="宋体" w:hAnsi="宋体" w:eastAsia="宋体" w:cs="Times New Roman"/>
                <w:b/>
                <w:color w:val="000000"/>
                <w:sz w:val="22"/>
              </w:rPr>
              <w:t>10股送股数</w:t>
            </w:r>
          </w:p>
        </w:tc>
        <w:tc>
          <w:tcPr>
            <w:tcW w:w="2339" w:type="dxa"/>
            <w:shd w:val="pct10" w:color="auto" w:fill="auto"/>
            <w:vAlign w:val="center"/>
          </w:tcPr>
          <w:p>
            <w:pPr>
              <w:tabs>
                <w:tab w:val="left" w:pos="5140"/>
              </w:tabs>
              <w:jc w:val="center"/>
              <w:rPr>
                <w:rFonts w:ascii="宋体" w:hAnsi="宋体" w:eastAsia="宋体" w:cs="Times New Roman"/>
                <w:b/>
                <w:color w:val="000000"/>
                <w:sz w:val="22"/>
              </w:rPr>
            </w:pPr>
            <w:r>
              <w:rPr>
                <w:rFonts w:hint="eastAsia" w:ascii="宋体" w:hAnsi="宋体" w:eastAsia="宋体" w:cs="Times New Roman"/>
                <w:b/>
                <w:color w:val="000000"/>
                <w:sz w:val="22"/>
              </w:rPr>
              <w:t>每</w:t>
            </w:r>
            <w:r>
              <w:rPr>
                <w:rFonts w:ascii="宋体" w:hAnsi="宋体" w:eastAsia="宋体" w:cs="Times New Roman"/>
                <w:b/>
                <w:color w:val="000000"/>
                <w:sz w:val="22"/>
              </w:rPr>
              <w:t>10股转</w:t>
            </w:r>
            <w:r>
              <w:rPr>
                <w:rFonts w:hint="eastAsia" w:ascii="宋体" w:hAnsi="宋体" w:eastAsia="宋体" w:cs="Times New Roman"/>
                <w:b/>
                <w:color w:val="000000"/>
                <w:sz w:val="22"/>
              </w:rPr>
              <w:t>增</w:t>
            </w:r>
            <w:r>
              <w:rPr>
                <w:rFonts w:ascii="宋体" w:hAnsi="宋体" w:eastAsia="宋体" w:cs="Times New Roman"/>
                <w:b/>
                <w:color w:val="000000"/>
                <w:sz w:val="22"/>
              </w:rPr>
              <w:t>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624" w:type="dxa"/>
          </w:tcPr>
          <w:p>
            <w:pPr>
              <w:tabs>
                <w:tab w:val="left" w:pos="5140"/>
              </w:tabs>
              <w:rPr>
                <w:rFonts w:ascii="宋体" w:hAnsi="宋体" w:eastAsia="宋体" w:cs="Times New Roman"/>
                <w:color w:val="000000"/>
                <w:sz w:val="22"/>
              </w:rPr>
            </w:pPr>
          </w:p>
        </w:tc>
        <w:tc>
          <w:tcPr>
            <w:tcW w:w="2338" w:type="dxa"/>
          </w:tcPr>
          <w:p>
            <w:pPr>
              <w:tabs>
                <w:tab w:val="left" w:pos="5140"/>
              </w:tabs>
              <w:rPr>
                <w:rFonts w:ascii="宋体" w:hAnsi="宋体" w:eastAsia="宋体" w:cs="Times New Roman"/>
                <w:color w:val="000000"/>
                <w:sz w:val="22"/>
              </w:rPr>
            </w:pPr>
          </w:p>
        </w:tc>
        <w:tc>
          <w:tcPr>
            <w:tcW w:w="2338" w:type="dxa"/>
          </w:tcPr>
          <w:p>
            <w:pPr>
              <w:tabs>
                <w:tab w:val="left" w:pos="5140"/>
              </w:tabs>
              <w:rPr>
                <w:rFonts w:ascii="宋体" w:hAnsi="宋体" w:eastAsia="宋体" w:cs="Times New Roman"/>
                <w:color w:val="000000"/>
                <w:sz w:val="22"/>
              </w:rPr>
            </w:pPr>
          </w:p>
        </w:tc>
        <w:tc>
          <w:tcPr>
            <w:tcW w:w="2339" w:type="dxa"/>
          </w:tcPr>
          <w:p>
            <w:pPr>
              <w:tabs>
                <w:tab w:val="left" w:pos="5140"/>
              </w:tabs>
              <w:rPr>
                <w:rFonts w:ascii="宋体" w:hAnsi="宋体"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624" w:type="dxa"/>
          </w:tcPr>
          <w:p>
            <w:pPr>
              <w:tabs>
                <w:tab w:val="left" w:pos="5140"/>
              </w:tabs>
              <w:rPr>
                <w:rFonts w:ascii="宋体" w:hAnsi="宋体" w:eastAsia="宋体" w:cs="Times New Roman"/>
                <w:color w:val="000000"/>
                <w:sz w:val="22"/>
              </w:rPr>
            </w:pPr>
            <w:r>
              <w:rPr>
                <w:rFonts w:hint="eastAsia" w:ascii="宋体" w:hAnsi="宋体" w:eastAsia="宋体" w:cs="Times New Roman"/>
                <w:color w:val="000000"/>
                <w:sz w:val="22"/>
              </w:rPr>
              <w:t>（自行</w:t>
            </w:r>
            <w:r>
              <w:rPr>
                <w:rFonts w:ascii="宋体" w:hAnsi="宋体" w:eastAsia="宋体" w:cs="Times New Roman"/>
                <w:color w:val="000000"/>
                <w:sz w:val="22"/>
              </w:rPr>
              <w:t>添行）</w:t>
            </w:r>
          </w:p>
        </w:tc>
        <w:tc>
          <w:tcPr>
            <w:tcW w:w="2338" w:type="dxa"/>
          </w:tcPr>
          <w:p>
            <w:pPr>
              <w:tabs>
                <w:tab w:val="left" w:pos="5140"/>
              </w:tabs>
              <w:rPr>
                <w:rFonts w:ascii="宋体" w:hAnsi="宋体" w:eastAsia="宋体" w:cs="Times New Roman"/>
                <w:color w:val="000000"/>
                <w:sz w:val="22"/>
              </w:rPr>
            </w:pPr>
          </w:p>
        </w:tc>
        <w:tc>
          <w:tcPr>
            <w:tcW w:w="2338" w:type="dxa"/>
          </w:tcPr>
          <w:p>
            <w:pPr>
              <w:tabs>
                <w:tab w:val="left" w:pos="5140"/>
              </w:tabs>
              <w:rPr>
                <w:rFonts w:ascii="宋体" w:hAnsi="宋体" w:eastAsia="宋体" w:cs="Times New Roman"/>
                <w:color w:val="000000"/>
                <w:sz w:val="22"/>
              </w:rPr>
            </w:pPr>
          </w:p>
        </w:tc>
        <w:tc>
          <w:tcPr>
            <w:tcW w:w="2339" w:type="dxa"/>
          </w:tcPr>
          <w:p>
            <w:pPr>
              <w:tabs>
                <w:tab w:val="left" w:pos="5140"/>
              </w:tabs>
              <w:rPr>
                <w:rFonts w:ascii="宋体" w:hAnsi="宋体" w:eastAsia="宋体" w:cs="Times New Roman"/>
                <w:color w:val="000000"/>
                <w:sz w:val="22"/>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624" w:type="dxa"/>
          </w:tcPr>
          <w:p>
            <w:pPr>
              <w:tabs>
                <w:tab w:val="left" w:pos="5140"/>
              </w:tabs>
              <w:jc w:val="center"/>
              <w:rPr>
                <w:rFonts w:ascii="宋体" w:hAnsi="宋体" w:eastAsia="宋体" w:cs="Times New Roman"/>
                <w:b/>
                <w:color w:val="000000"/>
                <w:sz w:val="22"/>
              </w:rPr>
            </w:pPr>
            <w:r>
              <w:rPr>
                <w:rFonts w:ascii="宋体" w:hAnsi="宋体" w:eastAsia="宋体" w:cs="Times New Roman"/>
                <w:b/>
                <w:color w:val="000000"/>
                <w:sz w:val="22"/>
              </w:rPr>
              <w:t>合计</w:t>
            </w:r>
          </w:p>
        </w:tc>
        <w:tc>
          <w:tcPr>
            <w:tcW w:w="2338" w:type="dxa"/>
          </w:tcPr>
          <w:p>
            <w:pPr>
              <w:tabs>
                <w:tab w:val="left" w:pos="5140"/>
              </w:tabs>
              <w:rPr>
                <w:rFonts w:ascii="宋体" w:hAnsi="宋体" w:eastAsia="宋体" w:cs="Times New Roman"/>
                <w:color w:val="000000"/>
                <w:sz w:val="22"/>
              </w:rPr>
            </w:pPr>
          </w:p>
        </w:tc>
        <w:tc>
          <w:tcPr>
            <w:tcW w:w="2338" w:type="dxa"/>
          </w:tcPr>
          <w:p>
            <w:pPr>
              <w:tabs>
                <w:tab w:val="left" w:pos="5140"/>
              </w:tabs>
              <w:rPr>
                <w:rFonts w:ascii="宋体" w:hAnsi="宋体" w:eastAsia="宋体" w:cs="Times New Roman"/>
                <w:color w:val="000000"/>
                <w:sz w:val="22"/>
              </w:rPr>
            </w:pPr>
          </w:p>
        </w:tc>
        <w:tc>
          <w:tcPr>
            <w:tcW w:w="2339" w:type="dxa"/>
          </w:tcPr>
          <w:p>
            <w:pPr>
              <w:tabs>
                <w:tab w:val="left" w:pos="5140"/>
              </w:tabs>
              <w:rPr>
                <w:rFonts w:ascii="宋体" w:hAnsi="宋体" w:eastAsia="宋体" w:cs="Times New Roman"/>
                <w:color w:val="000000"/>
                <w:sz w:val="22"/>
              </w:rPr>
            </w:pPr>
          </w:p>
        </w:tc>
      </w:tr>
    </w:tbl>
    <w:p>
      <w:pPr>
        <w:rPr>
          <w:rFonts w:asciiTheme="minorEastAsia" w:hAnsiTheme="minorEastAsia"/>
          <w:b/>
          <w:color w:val="000000" w:themeColor="text1"/>
          <w:sz w:val="22"/>
          <w14:textFill>
            <w14:solidFill>
              <w14:schemeClr w14:val="tx1"/>
            </w14:solidFill>
          </w14:textFill>
        </w:rPr>
      </w:pPr>
      <w:r>
        <w:rPr>
          <w:rFonts w:hint="eastAsia" w:asciiTheme="minorEastAsia" w:hAnsiTheme="minorEastAsia"/>
          <w:i/>
          <w:color w:val="FF0000"/>
          <w:szCs w:val="44"/>
        </w:rPr>
        <w:t>注：权益分派日期填写除权除息日。</w:t>
      </w:r>
    </w:p>
    <w:p>
      <w:pPr>
        <w:tabs>
          <w:tab w:val="left" w:pos="5140"/>
        </w:tabs>
        <w:rPr>
          <w:rFonts w:ascii="宋体" w:hAnsi="宋体" w:eastAsia="宋体" w:cs="Times New Roman"/>
          <w:b/>
          <w:color w:val="000000"/>
          <w:szCs w:val="44"/>
        </w:rPr>
      </w:pPr>
      <w:r>
        <w:rPr>
          <w:rFonts w:hint="eastAsia" w:ascii="宋体" w:hAnsi="宋体" w:eastAsia="宋体" w:cs="Times New Roman"/>
          <w:b/>
          <w:color w:val="000000"/>
          <w:szCs w:val="44"/>
        </w:rPr>
        <w:t>报告期内利润分配与公积金转增股本的执行情况：</w:t>
      </w:r>
    </w:p>
    <w:p>
      <w:pPr>
        <w:rPr>
          <w:rFonts w:ascii="Calibri" w:hAnsi="Calibri" w:eastAsia="宋体" w:cs="Times New Roman"/>
          <w:b/>
        </w:rPr>
      </w:pPr>
      <w:r>
        <w:rPr>
          <w:rFonts w:hint="eastAsia" w:ascii="Calibri" w:hAnsi="Calibri" w:eastAsia="宋体" w:cs="Times New Roman"/>
        </w:rPr>
        <w:t>□  适用  □  不适用</w:t>
      </w:r>
    </w:p>
    <w:tbl>
      <w:tblPr>
        <w:tblStyle w:val="46"/>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FF0000"/>
                <w:szCs w:val="44"/>
              </w:rPr>
            </w:pPr>
            <w:r>
              <w:rPr>
                <w:rFonts w:ascii="宋体" w:hAnsi="宋体" w:eastAsia="宋体" w:cs="Times New Roman"/>
                <w:i/>
                <w:color w:val="FF0000"/>
                <w:szCs w:val="44"/>
              </w:rPr>
              <w:t>注</w:t>
            </w:r>
            <w:r>
              <w:rPr>
                <w:rFonts w:hint="eastAsia" w:ascii="宋体" w:hAnsi="宋体" w:eastAsia="宋体" w:cs="Times New Roman"/>
                <w:i/>
                <w:color w:val="FF0000"/>
                <w:szCs w:val="44"/>
              </w:rPr>
              <w:t>：</w:t>
            </w:r>
            <w:r>
              <w:rPr>
                <w:rFonts w:ascii="宋体" w:hAnsi="宋体" w:eastAsia="宋体" w:cs="Times New Roman"/>
                <w:i/>
                <w:color w:val="FF0000"/>
                <w:szCs w:val="44"/>
              </w:rPr>
              <w:t>披露相关议案审议情况</w:t>
            </w:r>
            <w:r>
              <w:rPr>
                <w:rFonts w:hint="eastAsia" w:ascii="宋体" w:hAnsi="宋体" w:eastAsia="宋体" w:cs="Times New Roman"/>
                <w:i/>
                <w:color w:val="FF0000"/>
                <w:szCs w:val="44"/>
              </w:rPr>
              <w:t>、</w:t>
            </w:r>
            <w:r>
              <w:rPr>
                <w:rFonts w:ascii="宋体" w:hAnsi="宋体" w:eastAsia="宋体" w:cs="Times New Roman"/>
                <w:i/>
                <w:color w:val="FF0000"/>
                <w:szCs w:val="44"/>
              </w:rPr>
              <w:t>执行情况</w:t>
            </w:r>
            <w:r>
              <w:rPr>
                <w:rFonts w:hint="eastAsia" w:ascii="宋体" w:hAnsi="宋体" w:eastAsia="宋体" w:cs="Times New Roman"/>
                <w:i/>
                <w:color w:val="FF0000"/>
                <w:szCs w:val="44"/>
              </w:rPr>
              <w:t>；</w:t>
            </w:r>
            <w:r>
              <w:rPr>
                <w:rFonts w:ascii="宋体" w:hAnsi="宋体" w:eastAsia="宋体" w:cs="Times New Roman"/>
                <w:i/>
                <w:color w:val="FF0000"/>
                <w:szCs w:val="44"/>
              </w:rPr>
              <w:t>对于</w:t>
            </w:r>
            <w:r>
              <w:rPr>
                <w:rFonts w:hint="eastAsia" w:ascii="宋体" w:hAnsi="宋体" w:eastAsia="宋体" w:cs="Times New Roman"/>
                <w:i/>
                <w:color w:val="FF0000"/>
                <w:szCs w:val="44"/>
              </w:rPr>
              <w:t>报告期内存在已提出或已批准但尚未实施的利润分配方案与公积金转增股本方案的情况，请说明未实施的原因。</w:t>
            </w:r>
          </w:p>
          <w:p>
            <w:pPr>
              <w:tabs>
                <w:tab w:val="left" w:pos="5140"/>
              </w:tabs>
              <w:rPr>
                <w:rFonts w:ascii="宋体" w:hAnsi="宋体" w:eastAsia="宋体" w:cs="Times New Roman"/>
                <w:color w:val="FF0000"/>
                <w:szCs w:val="44"/>
              </w:rPr>
            </w:pPr>
          </w:p>
        </w:tc>
      </w:tr>
    </w:tbl>
    <w:p>
      <w:pPr>
        <w:rPr>
          <w:rFonts w:asciiTheme="minorEastAsia" w:hAnsiTheme="minorEastAsia"/>
          <w:b/>
          <w:color w:val="000000" w:themeColor="text1"/>
          <w:sz w:val="22"/>
          <w14:textFill>
            <w14:solidFill>
              <w14:schemeClr w14:val="tx1"/>
            </w14:solidFill>
          </w14:textFill>
        </w:rPr>
      </w:pPr>
    </w:p>
    <w:p>
      <w:pP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2.</w:t>
      </w:r>
      <w:r>
        <w:rPr>
          <w:rFonts w:asciiTheme="minorEastAsia" w:hAnsiTheme="minorEastAsia"/>
          <w:b/>
        </w:rPr>
        <w:t xml:space="preserve"> </w:t>
      </w:r>
      <w:r>
        <w:rPr>
          <w:rFonts w:hint="eastAsia" w:asciiTheme="minorEastAsia" w:hAnsiTheme="minorEastAsia"/>
          <w:b/>
        </w:rPr>
        <w:t>董事会</w:t>
      </w:r>
      <w:r>
        <w:rPr>
          <w:rFonts w:asciiTheme="minorEastAsia" w:hAnsiTheme="minorEastAsia"/>
          <w:b/>
        </w:rPr>
        <w:t>在审议季度报告时</w:t>
      </w:r>
      <w:r>
        <w:rPr>
          <w:rFonts w:hint="eastAsia" w:asciiTheme="minorEastAsia" w:hAnsiTheme="minorEastAsia"/>
          <w:b/>
        </w:rPr>
        <w:t>拟定</w:t>
      </w:r>
      <w:r>
        <w:rPr>
          <w:rFonts w:asciiTheme="minorEastAsia" w:hAnsiTheme="minorEastAsia"/>
          <w:b/>
        </w:rPr>
        <w:t>的的</w:t>
      </w:r>
      <w:r>
        <w:rPr>
          <w:rFonts w:hint="eastAsia" w:asciiTheme="minorEastAsia" w:hAnsiTheme="minorEastAsia"/>
          <w:b/>
          <w:color w:val="000000" w:themeColor="text1"/>
          <w:sz w:val="22"/>
          <w14:textFill>
            <w14:solidFill>
              <w14:schemeClr w14:val="tx1"/>
            </w14:solidFill>
          </w14:textFill>
        </w:rPr>
        <w:t>权益分派</w:t>
      </w:r>
      <w:r>
        <w:rPr>
          <w:rFonts w:asciiTheme="minorEastAsia" w:hAnsiTheme="minorEastAsia"/>
          <w:b/>
          <w:color w:val="000000" w:themeColor="text1"/>
          <w:sz w:val="22"/>
          <w14:textFill>
            <w14:solidFill>
              <w14:schemeClr w14:val="tx1"/>
            </w14:solidFill>
          </w14:textFill>
        </w:rPr>
        <w:t>预案</w:t>
      </w:r>
    </w:p>
    <w:p>
      <w:r>
        <w:rPr>
          <w:rFonts w:hint="eastAsia"/>
        </w:rPr>
        <w:t xml:space="preserve">□  适用  </w:t>
      </w:r>
      <w:r>
        <w:t xml:space="preserve">   </w:t>
      </w:r>
      <w:r>
        <w:rPr>
          <w:rFonts w:hint="eastAsia"/>
        </w:rPr>
        <w:t>□  不适用</w:t>
      </w:r>
    </w:p>
    <w:p>
      <w:pPr>
        <w:tabs>
          <w:tab w:val="left" w:pos="5140"/>
        </w:tabs>
        <w:jc w:val="right"/>
        <w:rPr>
          <w:rFonts w:ascii="宋体" w:hAnsi="宋体" w:eastAsia="宋体" w:cs="Times New Roman"/>
          <w:color w:val="000000"/>
          <w:szCs w:val="21"/>
        </w:rPr>
      </w:pPr>
      <w:r>
        <w:rPr>
          <w:rFonts w:hint="eastAsia" w:ascii="宋体" w:hAnsi="宋体" w:eastAsia="宋体" w:cs="Times New Roman"/>
          <w:color w:val="000000"/>
          <w:szCs w:val="21"/>
        </w:rPr>
        <w:t>单位：元或股</w:t>
      </w:r>
    </w:p>
    <w:tbl>
      <w:tblPr>
        <w:tblStyle w:val="120"/>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624"/>
        <w:gridCol w:w="2338"/>
        <w:gridCol w:w="2338"/>
        <w:gridCol w:w="2339"/>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624" w:type="dxa"/>
            <w:shd w:val="clear" w:color="auto" w:fill="D4D4D4" w:themeFill="accent3" w:themeFillTint="66"/>
            <w:vAlign w:val="center"/>
          </w:tcPr>
          <w:p>
            <w:pPr>
              <w:tabs>
                <w:tab w:val="left" w:pos="5140"/>
              </w:tabs>
              <w:jc w:val="center"/>
              <w:rPr>
                <w:rFonts w:ascii="宋体" w:hAnsi="宋体" w:eastAsia="宋体" w:cs="Times New Roman"/>
                <w:b/>
                <w:color w:val="000000"/>
                <w:sz w:val="22"/>
              </w:rPr>
            </w:pPr>
            <w:r>
              <w:rPr>
                <w:rFonts w:asciiTheme="minorEastAsia" w:hAnsiTheme="minorEastAsia"/>
                <w:b/>
                <w:color w:val="000000" w:themeColor="text1"/>
                <w:sz w:val="22"/>
                <w14:textFill>
                  <w14:solidFill>
                    <w14:schemeClr w14:val="tx1"/>
                  </w14:solidFill>
                </w14:textFill>
              </w:rPr>
              <w:t>项目</w:t>
            </w:r>
          </w:p>
        </w:tc>
        <w:tc>
          <w:tcPr>
            <w:tcW w:w="2338" w:type="dxa"/>
            <w:shd w:val="clear" w:color="auto" w:fill="D4D4D4" w:themeFill="accent3" w:themeFillTint="66"/>
            <w:vAlign w:val="center"/>
          </w:tcPr>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每</w:t>
            </w:r>
            <w:r>
              <w:rPr>
                <w:rFonts w:asciiTheme="minorEastAsia" w:hAnsiTheme="minorEastAsia"/>
                <w:b/>
                <w:color w:val="000000" w:themeColor="text1"/>
                <w:sz w:val="22"/>
                <w14:textFill>
                  <w14:solidFill>
                    <w14:schemeClr w14:val="tx1"/>
                  </w14:solidFill>
                </w14:textFill>
              </w:rPr>
              <w:t>10股派现数</w:t>
            </w:r>
          </w:p>
          <w:p>
            <w:pPr>
              <w:tabs>
                <w:tab w:val="left" w:pos="5140"/>
              </w:tabs>
              <w:jc w:val="center"/>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color w:val="000000" w:themeColor="text1"/>
                <w:sz w:val="22"/>
                <w14:textFill>
                  <w14:solidFill>
                    <w14:schemeClr w14:val="tx1"/>
                  </w14:solidFill>
                </w14:textFill>
              </w:rPr>
              <w:t>（含税</w:t>
            </w:r>
            <w:r>
              <w:rPr>
                <w:rFonts w:asciiTheme="minorEastAsia" w:hAnsiTheme="minorEastAsia"/>
                <w:b/>
                <w:color w:val="000000" w:themeColor="text1"/>
                <w:sz w:val="22"/>
                <w14:textFill>
                  <w14:solidFill>
                    <w14:schemeClr w14:val="tx1"/>
                  </w14:solidFill>
                </w14:textFill>
              </w:rPr>
              <w:t>）</w:t>
            </w:r>
          </w:p>
        </w:tc>
        <w:tc>
          <w:tcPr>
            <w:tcW w:w="2338" w:type="dxa"/>
            <w:shd w:val="clear" w:color="auto" w:fill="D4D4D4" w:themeFill="accent3" w:themeFillTint="66"/>
            <w:vAlign w:val="center"/>
          </w:tcPr>
          <w:p>
            <w:pPr>
              <w:tabs>
                <w:tab w:val="left" w:pos="5140"/>
              </w:tabs>
              <w:jc w:val="center"/>
              <w:rPr>
                <w:rFonts w:ascii="宋体" w:hAnsi="宋体" w:eastAsia="宋体" w:cs="Times New Roman"/>
                <w:color w:val="000000"/>
                <w:sz w:val="22"/>
              </w:rPr>
            </w:pPr>
            <w:r>
              <w:rPr>
                <w:rFonts w:hint="eastAsia" w:asciiTheme="minorEastAsia" w:hAnsiTheme="minorEastAsia"/>
                <w:b/>
                <w:color w:val="000000" w:themeColor="text1"/>
                <w:sz w:val="22"/>
                <w14:textFill>
                  <w14:solidFill>
                    <w14:schemeClr w14:val="tx1"/>
                  </w14:solidFill>
                </w14:textFill>
              </w:rPr>
              <w:t>每</w:t>
            </w:r>
            <w:r>
              <w:rPr>
                <w:rFonts w:asciiTheme="minorEastAsia" w:hAnsiTheme="minorEastAsia"/>
                <w:b/>
                <w:color w:val="000000" w:themeColor="text1"/>
                <w:sz w:val="22"/>
                <w14:textFill>
                  <w14:solidFill>
                    <w14:schemeClr w14:val="tx1"/>
                  </w14:solidFill>
                </w14:textFill>
              </w:rPr>
              <w:t>10股送股数</w:t>
            </w:r>
          </w:p>
        </w:tc>
        <w:tc>
          <w:tcPr>
            <w:tcW w:w="2339" w:type="dxa"/>
            <w:shd w:val="clear" w:color="auto" w:fill="D4D4D4" w:themeFill="accent3" w:themeFillTint="66"/>
            <w:vAlign w:val="center"/>
          </w:tcPr>
          <w:p>
            <w:pPr>
              <w:tabs>
                <w:tab w:val="left" w:pos="5140"/>
              </w:tabs>
              <w:jc w:val="center"/>
              <w:rPr>
                <w:rFonts w:ascii="宋体" w:hAnsi="宋体" w:eastAsia="宋体" w:cs="Times New Roman"/>
                <w:color w:val="000000"/>
                <w:sz w:val="22"/>
              </w:rPr>
            </w:pPr>
            <w:r>
              <w:rPr>
                <w:rFonts w:hint="eastAsia" w:asciiTheme="minorEastAsia" w:hAnsiTheme="minorEastAsia"/>
                <w:b/>
                <w:color w:val="000000" w:themeColor="text1"/>
                <w:sz w:val="22"/>
                <w14:textFill>
                  <w14:solidFill>
                    <w14:schemeClr w14:val="tx1"/>
                  </w14:solidFill>
                </w14:textFill>
              </w:rPr>
              <w:t>每</w:t>
            </w:r>
            <w:r>
              <w:rPr>
                <w:rFonts w:asciiTheme="minorEastAsia" w:hAnsiTheme="minorEastAsia"/>
                <w:b/>
                <w:color w:val="000000" w:themeColor="text1"/>
                <w:sz w:val="22"/>
                <w14:textFill>
                  <w14:solidFill>
                    <w14:schemeClr w14:val="tx1"/>
                  </w14:solidFill>
                </w14:textFill>
              </w:rPr>
              <w:t>10股转</w:t>
            </w:r>
            <w:r>
              <w:rPr>
                <w:rFonts w:hint="eastAsia" w:asciiTheme="minorEastAsia" w:hAnsiTheme="minorEastAsia"/>
                <w:b/>
                <w:color w:val="000000" w:themeColor="text1"/>
                <w:sz w:val="22"/>
                <w14:textFill>
                  <w14:solidFill>
                    <w14:schemeClr w14:val="tx1"/>
                  </w14:solidFill>
                </w14:textFill>
              </w:rPr>
              <w:t>增</w:t>
            </w:r>
            <w:r>
              <w:rPr>
                <w:rFonts w:asciiTheme="minorEastAsia" w:hAnsiTheme="minorEastAsia"/>
                <w:b/>
                <w:color w:val="000000" w:themeColor="text1"/>
                <w:sz w:val="22"/>
                <w14:textFill>
                  <w14:solidFill>
                    <w14:schemeClr w14:val="tx1"/>
                  </w14:solidFill>
                </w14:textFill>
              </w:rPr>
              <w:t>数</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624" w:type="dxa"/>
          </w:tcPr>
          <w:p>
            <w:pPr>
              <w:tabs>
                <w:tab w:val="left" w:pos="5140"/>
              </w:tabs>
              <w:rPr>
                <w:rFonts w:asciiTheme="minorEastAsia" w:hAnsiTheme="minorEastAsia"/>
                <w:b/>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第三季度分派预案</w:t>
            </w:r>
          </w:p>
        </w:tc>
        <w:tc>
          <w:tcPr>
            <w:tcW w:w="2338" w:type="dxa"/>
          </w:tcPr>
          <w:p>
            <w:pPr>
              <w:tabs>
                <w:tab w:val="left" w:pos="5140"/>
              </w:tabs>
              <w:rPr>
                <w:rFonts w:asciiTheme="minorEastAsia" w:hAnsiTheme="minorEastAsia"/>
                <w:b/>
                <w:color w:val="000000" w:themeColor="text1"/>
                <w:sz w:val="22"/>
                <w14:textFill>
                  <w14:solidFill>
                    <w14:schemeClr w14:val="tx1"/>
                  </w14:solidFill>
                </w14:textFill>
              </w:rPr>
            </w:pPr>
          </w:p>
        </w:tc>
        <w:tc>
          <w:tcPr>
            <w:tcW w:w="2338" w:type="dxa"/>
          </w:tcPr>
          <w:p>
            <w:pPr>
              <w:tabs>
                <w:tab w:val="left" w:pos="5140"/>
              </w:tabs>
              <w:rPr>
                <w:rFonts w:asciiTheme="minorEastAsia" w:hAnsiTheme="minorEastAsia"/>
                <w:b/>
                <w:color w:val="000000" w:themeColor="text1"/>
                <w:sz w:val="22"/>
                <w14:textFill>
                  <w14:solidFill>
                    <w14:schemeClr w14:val="tx1"/>
                  </w14:solidFill>
                </w14:textFill>
              </w:rPr>
            </w:pPr>
          </w:p>
        </w:tc>
        <w:tc>
          <w:tcPr>
            <w:tcW w:w="2339" w:type="dxa"/>
          </w:tcPr>
          <w:p>
            <w:pPr>
              <w:tabs>
                <w:tab w:val="left" w:pos="5140"/>
              </w:tabs>
              <w:rPr>
                <w:rFonts w:asciiTheme="minorEastAsia" w:hAnsiTheme="minorEastAsia"/>
                <w:b/>
                <w:color w:val="000000" w:themeColor="text1"/>
                <w:sz w:val="22"/>
                <w14:textFill>
                  <w14:solidFill>
                    <w14:schemeClr w14:val="tx1"/>
                  </w14:solidFill>
                </w14:textFill>
              </w:rPr>
            </w:pPr>
          </w:p>
        </w:tc>
      </w:tr>
    </w:tbl>
    <w:p>
      <w:pPr>
        <w:tabs>
          <w:tab w:val="left" w:pos="5140"/>
        </w:tabs>
        <w:rPr>
          <w:rFonts w:asciiTheme="minorEastAsia" w:hAnsiTheme="minorEastAsia"/>
          <w:b/>
          <w:color w:val="000000" w:themeColor="text1"/>
          <w:szCs w:val="44"/>
          <w14:textFill>
            <w14:solidFill>
              <w14:schemeClr w14:val="tx1"/>
            </w14:solidFill>
          </w14:textFill>
        </w:rPr>
      </w:pPr>
    </w:p>
    <w:p>
      <w:pPr>
        <w:tabs>
          <w:tab w:val="left" w:pos="5140"/>
        </w:tabs>
        <w:rPr>
          <w:rFonts w:asciiTheme="minorEastAsia" w:hAnsiTheme="minorEastAsia"/>
          <w:b/>
          <w:color w:val="000000" w:themeColor="text1"/>
          <w:szCs w:val="44"/>
          <w14:textFill>
            <w14:solidFill>
              <w14:schemeClr w14:val="tx1"/>
            </w14:solidFill>
          </w14:textFill>
        </w:rPr>
      </w:pPr>
      <w:r>
        <w:rPr>
          <w:rFonts w:hint="eastAsia" w:asciiTheme="minorEastAsia" w:hAnsiTheme="minorEastAsia"/>
          <w:b/>
          <w:color w:val="000000" w:themeColor="text1"/>
          <w:szCs w:val="44"/>
          <w14:textFill>
            <w14:solidFill>
              <w14:schemeClr w14:val="tx1"/>
            </w14:solidFill>
          </w14:textFill>
        </w:rPr>
        <w:t>第三季度</w:t>
      </w:r>
      <w:r>
        <w:rPr>
          <w:rFonts w:asciiTheme="minorEastAsia" w:hAnsiTheme="minorEastAsia"/>
          <w:b/>
          <w:color w:val="000000" w:themeColor="text1"/>
          <w:szCs w:val="44"/>
          <w14:textFill>
            <w14:solidFill>
              <w14:schemeClr w14:val="tx1"/>
            </w14:solidFill>
          </w14:textFill>
        </w:rPr>
        <w:t>财务</w:t>
      </w:r>
      <w:r>
        <w:rPr>
          <w:rFonts w:hint="eastAsia" w:asciiTheme="minorEastAsia" w:hAnsiTheme="minorEastAsia"/>
          <w:b/>
          <w:color w:val="000000" w:themeColor="text1"/>
          <w:szCs w:val="44"/>
          <w14:textFill>
            <w14:solidFill>
              <w14:schemeClr w14:val="tx1"/>
            </w14:solidFill>
          </w14:textFill>
        </w:rPr>
        <w:t>会计</w:t>
      </w:r>
      <w:r>
        <w:rPr>
          <w:rFonts w:asciiTheme="minorEastAsia" w:hAnsiTheme="minorEastAsia"/>
          <w:b/>
          <w:color w:val="000000" w:themeColor="text1"/>
          <w:szCs w:val="44"/>
          <w14:textFill>
            <w14:solidFill>
              <w14:schemeClr w14:val="tx1"/>
            </w14:solidFill>
          </w14:textFill>
        </w:rPr>
        <w:t>报告</w:t>
      </w:r>
      <w:r>
        <w:rPr>
          <w:rFonts w:hint="eastAsia" w:asciiTheme="minorEastAsia" w:hAnsiTheme="minorEastAsia"/>
          <w:b/>
          <w:color w:val="000000" w:themeColor="text1"/>
          <w:szCs w:val="44"/>
          <w14:textFill>
            <w14:solidFill>
              <w14:schemeClr w14:val="tx1"/>
            </w14:solidFill>
          </w14:textFill>
        </w:rPr>
        <w:t>审计情况：</w:t>
      </w:r>
    </w:p>
    <w:p>
      <w:pPr>
        <w:rPr>
          <w:rFonts w:ascii="Calibri" w:hAnsi="Calibri" w:eastAsia="宋体" w:cs="Times New Roman"/>
          <w:b/>
        </w:rPr>
      </w:pPr>
      <w:r>
        <w:rPr>
          <w:rFonts w:hint="eastAsia"/>
        </w:rPr>
        <w:t>□  适用  □  不适用</w:t>
      </w:r>
    </w:p>
    <w:tbl>
      <w:tblPr>
        <w:tblStyle w:val="46"/>
        <w:tblW w:w="9611" w:type="dxa"/>
        <w:tblInd w:w="-572" w:type="dxa"/>
        <w:tblLayout w:type="autofit"/>
        <w:tblCellMar>
          <w:top w:w="0" w:type="dxa"/>
          <w:left w:w="108" w:type="dxa"/>
          <w:bottom w:w="0" w:type="dxa"/>
          <w:right w:w="108" w:type="dxa"/>
        </w:tblCellMar>
      </w:tblPr>
      <w:tblGrid>
        <w:gridCol w:w="9611"/>
      </w:tblGrid>
      <w:tr>
        <w:tblPrEx>
          <w:tblCellMar>
            <w:top w:w="0" w:type="dxa"/>
            <w:left w:w="108" w:type="dxa"/>
            <w:bottom w:w="0" w:type="dxa"/>
            <w:right w:w="108" w:type="dxa"/>
          </w:tblCellMar>
        </w:tblPrEx>
        <w:tc>
          <w:tcPr>
            <w:tcW w:w="9611" w:type="dxa"/>
            <w:tcBorders>
              <w:top w:val="single" w:color="5B9BD5" w:sz="4" w:space="0"/>
              <w:left w:val="single" w:color="5B9BD5" w:sz="4" w:space="0"/>
              <w:bottom w:val="single" w:color="5B9BD5" w:sz="4" w:space="0"/>
              <w:right w:val="single" w:color="5B9BD5" w:sz="4" w:space="0"/>
            </w:tcBorders>
          </w:tcPr>
          <w:p>
            <w:pPr>
              <w:tabs>
                <w:tab w:val="left" w:pos="5140"/>
              </w:tabs>
              <w:rPr>
                <w:rFonts w:ascii="宋体" w:hAnsi="宋体" w:eastAsia="宋体" w:cs="Times New Roman"/>
                <w:i/>
                <w:color w:val="FF0000"/>
                <w:szCs w:val="44"/>
              </w:rPr>
            </w:pPr>
            <w:r>
              <w:rPr>
                <w:rFonts w:hint="eastAsia" w:ascii="宋体" w:hAnsi="宋体" w:eastAsia="宋体" w:cs="Times New Roman"/>
                <w:i/>
                <w:color w:val="FF0000"/>
                <w:szCs w:val="44"/>
              </w:rPr>
              <w:t>注：上市公司拟实施送股或者以资本公积转增股本的，所依据的第三季度的财务会计报告应当经《证券法》规定的会计师事务所审计。若符合上述情形，请具体说明审计情况。</w:t>
            </w:r>
          </w:p>
          <w:p>
            <w:pPr>
              <w:tabs>
                <w:tab w:val="left" w:pos="5140"/>
              </w:tabs>
              <w:rPr>
                <w:rFonts w:ascii="宋体" w:hAnsi="宋体" w:eastAsia="宋体" w:cs="Times New Roman"/>
                <w:color w:val="FF0000"/>
                <w:szCs w:val="44"/>
              </w:rPr>
            </w:pPr>
          </w:p>
        </w:tc>
      </w:tr>
    </w:tbl>
    <w:p>
      <w:pPr>
        <w:pStyle w:val="44"/>
        <w:rPr>
          <w:rFonts w:ascii="黑体" w:hAnsi="黑体" w:eastAsia="黑体"/>
          <w:b w:val="0"/>
          <w:sz w:val="36"/>
          <w:szCs w:val="36"/>
        </w:rPr>
      </w:pPr>
      <w:r>
        <w:rPr>
          <w:rFonts w:hint="eastAsia" w:ascii="黑体" w:hAnsi="黑体" w:eastAsia="黑体"/>
          <w:b w:val="0"/>
          <w:sz w:val="36"/>
          <w:szCs w:val="36"/>
        </w:rPr>
        <w:t>第四节 财务会计报告</w:t>
      </w:r>
    </w:p>
    <w:p>
      <w:pPr>
        <w:pStyle w:val="64"/>
        <w:tabs>
          <w:tab w:val="left" w:pos="5140"/>
        </w:tabs>
        <w:ind w:firstLine="0" w:firstLineChars="0"/>
        <w:outlineLvl w:val="1"/>
        <w:rPr>
          <w:rFonts w:ascii="微软雅黑" w:hAnsi="微软雅黑" w:eastAsia="微软雅黑"/>
          <w:b/>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一、财务</w:t>
      </w:r>
      <w:r>
        <w:rPr>
          <w:rFonts w:ascii="微软雅黑" w:hAnsi="微软雅黑" w:eastAsia="微软雅黑"/>
          <w:b/>
          <w:color w:val="000000" w:themeColor="text1"/>
          <w:sz w:val="22"/>
          <w14:textFill>
            <w14:solidFill>
              <w14:schemeClr w14:val="tx1"/>
            </w14:solidFill>
          </w14:textFill>
        </w:rPr>
        <w:t>报告</w:t>
      </w:r>
      <w:r>
        <w:rPr>
          <w:rFonts w:hint="eastAsia" w:ascii="微软雅黑" w:hAnsi="微软雅黑" w:eastAsia="微软雅黑"/>
          <w:b/>
          <w:color w:val="000000" w:themeColor="text1"/>
          <w:sz w:val="22"/>
          <w14:textFill>
            <w14:solidFill>
              <w14:schemeClr w14:val="tx1"/>
            </w14:solidFill>
          </w14:textFill>
        </w:rPr>
        <w:t>的</w:t>
      </w:r>
      <w:r>
        <w:rPr>
          <w:rFonts w:ascii="微软雅黑" w:hAnsi="微软雅黑" w:eastAsia="微软雅黑"/>
          <w:b/>
          <w:color w:val="000000" w:themeColor="text1"/>
          <w:sz w:val="22"/>
          <w14:textFill>
            <w14:solidFill>
              <w14:schemeClr w14:val="tx1"/>
            </w14:solidFill>
          </w14:textFill>
        </w:rPr>
        <w:t>审计情况</w:t>
      </w:r>
    </w:p>
    <w:tbl>
      <w:tblPr>
        <w:tblStyle w:val="46"/>
        <w:tblW w:w="9639" w:type="dxa"/>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2977"/>
        <w:gridCol w:w="6662"/>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是否审计</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（是/否）注：选择“否”，无需披露表格后续内容</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审计意见</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下拉</w:t>
            </w:r>
            <w:r>
              <w:rPr>
                <w:rFonts w:asciiTheme="minorEastAsia" w:hAnsiTheme="minorEastAsia"/>
                <w:color w:val="FF0000"/>
                <w:sz w:val="22"/>
              </w:rPr>
              <w:t>选项</w:t>
            </w:r>
            <w:r>
              <w:rPr>
                <w:rFonts w:hint="eastAsia" w:asciiTheme="minorEastAsia" w:hAnsiTheme="minorEastAsia"/>
                <w:color w:val="FF0000"/>
                <w:sz w:val="22"/>
              </w:rPr>
              <w:t>（</w:t>
            </w:r>
            <w:r>
              <w:rPr>
                <w:rFonts w:asciiTheme="minorEastAsia" w:hAnsiTheme="minorEastAsia"/>
                <w:color w:val="FF0000"/>
                <w:sz w:val="22"/>
              </w:rPr>
              <w:t>单选）:</w:t>
            </w:r>
            <w:r>
              <w:rPr>
                <w:rFonts w:hint="eastAsia" w:asciiTheme="minorEastAsia" w:hAnsiTheme="minorEastAsia"/>
                <w:color w:val="FF0000"/>
                <w:sz w:val="22"/>
              </w:rPr>
              <w:t xml:space="preserve"> 无保留意见，保留意见、否定意见、无法表示意见</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报告</w:t>
            </w:r>
            <w:r>
              <w:rPr>
                <w:rFonts w:hint="eastAsia" w:asciiTheme="minorEastAsia" w:hAnsiTheme="minorEastAsia"/>
                <w:color w:val="000000" w:themeColor="text1"/>
                <w:sz w:val="22"/>
                <w14:textFill>
                  <w14:solidFill>
                    <w14:schemeClr w14:val="tx1"/>
                  </w14:solidFill>
                </w14:textFill>
              </w:rPr>
              <w:t>中的</w:t>
            </w:r>
            <w:r>
              <w:rPr>
                <w:rFonts w:asciiTheme="minorEastAsia" w:hAnsiTheme="minorEastAsia"/>
                <w:color w:val="000000" w:themeColor="text1"/>
                <w:sz w:val="22"/>
                <w14:textFill>
                  <w14:solidFill>
                    <w14:schemeClr w14:val="tx1"/>
                  </w14:solidFill>
                </w14:textFill>
              </w:rPr>
              <w:t>特别段落</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下拉</w:t>
            </w:r>
            <w:r>
              <w:rPr>
                <w:rFonts w:asciiTheme="minorEastAsia" w:hAnsiTheme="minorEastAsia"/>
                <w:color w:val="FF0000"/>
                <w:sz w:val="22"/>
              </w:rPr>
              <w:t>选项（多选）：</w:t>
            </w:r>
            <w:r>
              <w:rPr>
                <w:rFonts w:hint="eastAsia" w:asciiTheme="minorEastAsia" w:hAnsiTheme="minorEastAsia"/>
                <w:color w:val="FF0000"/>
                <w:sz w:val="22"/>
              </w:rPr>
              <w:t>无、强调</w:t>
            </w:r>
            <w:r>
              <w:rPr>
                <w:rFonts w:asciiTheme="minorEastAsia" w:hAnsiTheme="minorEastAsia"/>
                <w:color w:val="FF0000"/>
                <w:sz w:val="22"/>
              </w:rPr>
              <w:t>事项段、其他</w:t>
            </w:r>
            <w:r>
              <w:rPr>
                <w:rFonts w:hint="eastAsia" w:asciiTheme="minorEastAsia" w:hAnsiTheme="minorEastAsia"/>
                <w:color w:val="FF0000"/>
                <w:sz w:val="22"/>
              </w:rPr>
              <w:t>事项段</w:t>
            </w:r>
            <w:r>
              <w:rPr>
                <w:rFonts w:asciiTheme="minorEastAsia" w:hAnsiTheme="minorEastAsia"/>
                <w:color w:val="FF0000"/>
                <w:sz w:val="22"/>
              </w:rPr>
              <w:t>、持续经营重大不确定</w:t>
            </w:r>
            <w:r>
              <w:rPr>
                <w:rFonts w:hint="eastAsia" w:asciiTheme="minorEastAsia" w:hAnsiTheme="minorEastAsia"/>
                <w:color w:val="FF0000"/>
                <w:sz w:val="22"/>
              </w:rPr>
              <w:t>性</w:t>
            </w:r>
            <w:r>
              <w:rPr>
                <w:rFonts w:asciiTheme="minorEastAsia" w:hAnsiTheme="minorEastAsia"/>
                <w:color w:val="FF0000"/>
                <w:sz w:val="22"/>
              </w:rPr>
              <w:t>段落、其他信息段落中包含其他信息存在未更正重大错报说明</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审计报告编号</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机构名称</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FF0000"/>
                <w:sz w:val="22"/>
              </w:rPr>
              <w:t>（请填写会计师事务所全称。填写示例：立信会计师事务所（特殊普通合伙）。</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机构地址</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imes New Roman" w:hAnsi="Times New Roman"/>
                <w:color w:val="FF0000"/>
                <w:kern w:val="0"/>
                <w:sz w:val="22"/>
                <w:szCs w:val="21"/>
              </w:rPr>
              <w:t>（填写</w:t>
            </w:r>
            <w:r>
              <w:rPr>
                <w:rFonts w:ascii="Times New Roman" w:hAnsi="Times New Roman"/>
                <w:color w:val="FF0000"/>
                <w:kern w:val="0"/>
                <w:sz w:val="22"/>
                <w:szCs w:val="21"/>
              </w:rPr>
              <w:t>示例：</w:t>
            </w:r>
            <w:r>
              <w:rPr>
                <w:rFonts w:hint="eastAsia" w:ascii="Times New Roman" w:hAnsi="Times New Roman"/>
                <w:color w:val="FF0000"/>
                <w:kern w:val="0"/>
                <w:sz w:val="22"/>
                <w:szCs w:val="21"/>
              </w:rPr>
              <w:t>北京市西城区金融街街道广宁伯街1号）</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w:t>
            </w:r>
            <w:r>
              <w:rPr>
                <w:rFonts w:asciiTheme="minorEastAsia" w:hAnsiTheme="minorEastAsia"/>
                <w:color w:val="000000" w:themeColor="text1"/>
                <w:sz w:val="22"/>
                <w14:textFill>
                  <w14:solidFill>
                    <w14:schemeClr w14:val="tx1"/>
                  </w14:solidFill>
                </w14:textFill>
              </w:rPr>
              <w:t>报告日期</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宋体" w:hAnsi="宋体"/>
                <w:color w:val="FF0000"/>
                <w:sz w:val="22"/>
              </w:rPr>
              <w:t>（日历控件）</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注册会计师</w:t>
            </w:r>
            <w:r>
              <w:rPr>
                <w:rFonts w:asciiTheme="minorEastAsia" w:hAnsiTheme="minorEastAsia"/>
                <w:color w:val="000000" w:themeColor="text1"/>
                <w:sz w:val="22"/>
                <w14:textFill>
                  <w14:solidFill>
                    <w14:schemeClr w14:val="tx1"/>
                  </w14:solidFill>
                </w14:textFill>
              </w:rPr>
              <w:t>姓名</w:t>
            </w:r>
          </w:p>
        </w:tc>
        <w:tc>
          <w:tcPr>
            <w:tcW w:w="6662"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宋体" w:hAnsi="宋体"/>
                <w:color w:val="FF0000"/>
                <w:kern w:val="0"/>
                <w:sz w:val="22"/>
              </w:rPr>
              <w:t>（如有</w:t>
            </w:r>
            <w:r>
              <w:rPr>
                <w:rFonts w:ascii="宋体" w:hAnsi="宋体"/>
                <w:color w:val="FF0000"/>
                <w:kern w:val="0"/>
                <w:sz w:val="22"/>
              </w:rPr>
              <w:t>多个姓名，请用顿号分隔。</w:t>
            </w:r>
            <w:r>
              <w:rPr>
                <w:rFonts w:hint="eastAsia" w:ascii="宋体" w:hAnsi="宋体"/>
                <w:color w:val="FF0000"/>
                <w:kern w:val="0"/>
                <w:sz w:val="22"/>
              </w:rPr>
              <w:t>填写示例</w:t>
            </w:r>
            <w:r>
              <w:rPr>
                <w:rFonts w:ascii="宋体" w:hAnsi="宋体"/>
                <w:color w:val="FF0000"/>
                <w:kern w:val="0"/>
                <w:sz w:val="22"/>
              </w:rPr>
              <w:t>：张三、李四</w:t>
            </w:r>
            <w:r>
              <w:rPr>
                <w:rFonts w:hint="eastAsia" w:ascii="宋体" w:hAnsi="宋体"/>
                <w:color w:val="FF0000"/>
                <w:kern w:val="0"/>
                <w:sz w:val="22"/>
              </w:rPr>
              <w:t>。）</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977" w:type="dxa"/>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会计师事务所是否变更</w:t>
            </w:r>
          </w:p>
        </w:tc>
        <w:tc>
          <w:tcPr>
            <w:tcW w:w="6662" w:type="dxa"/>
          </w:tcPr>
          <w:p>
            <w:pPr>
              <w:tabs>
                <w:tab w:val="left" w:pos="5140"/>
              </w:tabs>
              <w:rPr>
                <w:rFonts w:asciiTheme="minorEastAsia" w:hAnsiTheme="minorEastAsia"/>
                <w:color w:val="FF0000"/>
                <w:sz w:val="22"/>
              </w:rPr>
            </w:pPr>
            <w:r>
              <w:rPr>
                <w:rFonts w:hint="eastAsia" w:asciiTheme="minorEastAsia" w:hAnsiTheme="minorEastAsia"/>
                <w:color w:val="FF0000"/>
                <w:sz w:val="22"/>
              </w:rPr>
              <w:t>（是/否）注：本次</w:t>
            </w:r>
            <w:r>
              <w:rPr>
                <w:rFonts w:asciiTheme="minorEastAsia" w:hAnsiTheme="minorEastAsia"/>
                <w:color w:val="FF0000"/>
                <w:sz w:val="22"/>
              </w:rPr>
              <w:t>与</w:t>
            </w:r>
            <w:r>
              <w:rPr>
                <w:rFonts w:hint="eastAsia" w:asciiTheme="minorEastAsia" w:hAnsiTheme="minorEastAsia"/>
                <w:color w:val="FF0000"/>
                <w:sz w:val="22"/>
              </w:rPr>
              <w:t>最近</w:t>
            </w:r>
            <w:r>
              <w:rPr>
                <w:rFonts w:asciiTheme="minorEastAsia" w:hAnsiTheme="minorEastAsia"/>
                <w:color w:val="FF0000"/>
                <w:sz w:val="22"/>
              </w:rPr>
              <w:t>一期</w:t>
            </w:r>
            <w:r>
              <w:rPr>
                <w:rFonts w:hint="eastAsia" w:asciiTheme="minorEastAsia" w:hAnsiTheme="minorEastAsia"/>
                <w:color w:val="FF0000"/>
                <w:sz w:val="22"/>
              </w:rPr>
              <w:t>披露</w:t>
            </w:r>
            <w:r>
              <w:rPr>
                <w:rFonts w:asciiTheme="minorEastAsia" w:hAnsiTheme="minorEastAsia"/>
                <w:color w:val="FF0000"/>
                <w:sz w:val="22"/>
              </w:rPr>
              <w:t>的</w:t>
            </w:r>
            <w:r>
              <w:rPr>
                <w:rFonts w:hint="eastAsia" w:asciiTheme="minorEastAsia" w:hAnsiTheme="minorEastAsia"/>
                <w:color w:val="FF0000"/>
                <w:sz w:val="22"/>
              </w:rPr>
              <w:t>经</w:t>
            </w:r>
            <w:r>
              <w:rPr>
                <w:rFonts w:asciiTheme="minorEastAsia" w:hAnsiTheme="minorEastAsia"/>
                <w:color w:val="FF0000"/>
                <w:sz w:val="22"/>
              </w:rPr>
              <w:t>审计定期报告的</w:t>
            </w:r>
            <w:r>
              <w:rPr>
                <w:rFonts w:hint="eastAsia" w:asciiTheme="minorEastAsia" w:hAnsiTheme="minorEastAsia"/>
                <w:color w:val="FF0000"/>
                <w:sz w:val="22"/>
              </w:rPr>
              <w:t>会计师事务所</w:t>
            </w:r>
            <w:r>
              <w:rPr>
                <w:rFonts w:asciiTheme="minorEastAsia" w:hAnsiTheme="minorEastAsia"/>
                <w:color w:val="FF0000"/>
                <w:sz w:val="22"/>
              </w:rPr>
              <w:t>是否发生变更</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956" w:hRule="atLeast"/>
        </w:trPr>
        <w:tc>
          <w:tcPr>
            <w:tcW w:w="9639" w:type="dxa"/>
            <w:gridSpan w:val="2"/>
          </w:tcPr>
          <w:p>
            <w:pPr>
              <w:tabs>
                <w:tab w:val="left" w:pos="5140"/>
              </w:tabs>
              <w:rPr>
                <w:rFonts w:asciiTheme="minorEastAsia" w:hAnsiTheme="minorEastAsia"/>
                <w:color w:val="000000" w:themeColor="text1"/>
                <w:sz w:val="22"/>
                <w14:textFill>
                  <w14:solidFill>
                    <w14:schemeClr w14:val="tx1"/>
                  </w14:solidFill>
                </w14:textFill>
              </w:rPr>
            </w:pPr>
            <w:r>
              <w:rPr>
                <w:rFonts w:hint="eastAsia" w:asciiTheme="minorEastAsia" w:hAnsiTheme="minorEastAsia"/>
                <w:color w:val="000000" w:themeColor="text1"/>
                <w:sz w:val="22"/>
                <w14:textFill>
                  <w14:solidFill>
                    <w14:schemeClr w14:val="tx1"/>
                  </w14:solidFill>
                </w14:textFill>
              </w:rPr>
              <w:t>审计报告正文</w:t>
            </w:r>
            <w:r>
              <w:rPr>
                <w:rFonts w:asciiTheme="minorEastAsia" w:hAnsiTheme="minorEastAsia"/>
                <w:color w:val="000000" w:themeColor="text1"/>
                <w:sz w:val="22"/>
                <w14:textFill>
                  <w14:solidFill>
                    <w14:schemeClr w14:val="tx1"/>
                  </w14:solidFill>
                </w14:textFill>
              </w:rPr>
              <w:t>：</w:t>
            </w:r>
          </w:p>
          <w:p>
            <w:pPr>
              <w:tabs>
                <w:tab w:val="left" w:pos="5140"/>
              </w:tabs>
              <w:rPr>
                <w:rFonts w:asciiTheme="minorEastAsia" w:hAnsiTheme="minorEastAsia"/>
                <w:color w:val="000000" w:themeColor="text1"/>
                <w:sz w:val="22"/>
                <w14:textFill>
                  <w14:solidFill>
                    <w14:schemeClr w14:val="tx1"/>
                  </w14:solidFill>
                </w14:textFill>
              </w:rPr>
            </w:pPr>
            <w:r>
              <w:rPr>
                <w:rFonts w:hint="eastAsia"/>
                <w:color w:val="FF0000"/>
              </w:rPr>
              <w:t>注：若公司财务报告经注册会计师审计，请粘贴审计报告正文</w:t>
            </w:r>
          </w:p>
        </w:tc>
      </w:tr>
    </w:tbl>
    <w:p>
      <w:pPr>
        <w:pStyle w:val="64"/>
        <w:tabs>
          <w:tab w:val="left" w:pos="5140"/>
        </w:tabs>
        <w:ind w:firstLine="0" w:firstLineChars="0"/>
        <w:outlineLvl w:val="1"/>
        <w:rPr>
          <w:rFonts w:ascii="微软雅黑" w:hAnsi="微软雅黑" w:eastAsia="微软雅黑"/>
          <w:b/>
          <w:color w:val="000000" w:themeColor="text1"/>
          <w:sz w:val="22"/>
          <w14:textFill>
            <w14:solidFill>
              <w14:schemeClr w14:val="tx1"/>
            </w14:solidFill>
          </w14:textFill>
        </w:rPr>
      </w:pPr>
      <w:r>
        <w:rPr>
          <w:rFonts w:hint="eastAsia" w:ascii="微软雅黑" w:hAnsi="微软雅黑" w:eastAsia="微软雅黑"/>
          <w:b/>
          <w:color w:val="000000" w:themeColor="text1"/>
          <w:sz w:val="22"/>
          <w14:textFill>
            <w14:solidFill>
              <w14:schemeClr w14:val="tx1"/>
            </w14:solidFill>
          </w14:textFill>
        </w:rPr>
        <w:t>二、</w:t>
      </w:r>
      <w:r>
        <w:rPr>
          <w:rFonts w:ascii="微软雅黑" w:hAnsi="微软雅黑" w:eastAsia="微软雅黑"/>
          <w:b/>
          <w:color w:val="000000" w:themeColor="text1"/>
          <w:sz w:val="22"/>
          <w14:textFill>
            <w14:solidFill>
              <w14:schemeClr w14:val="tx1"/>
            </w14:solidFill>
          </w14:textFill>
        </w:rPr>
        <w:t>财务报表</w:t>
      </w:r>
    </w:p>
    <w:p>
      <w:pPr>
        <w:rPr>
          <w:rFonts w:ascii="宋体" w:hAnsi="宋体" w:eastAsia="宋体"/>
          <w:color w:val="000000"/>
          <w:szCs w:val="21"/>
        </w:rPr>
      </w:pPr>
    </w:p>
    <w:p>
      <w:pPr>
        <w:pStyle w:val="64"/>
        <w:widowControl/>
        <w:numPr>
          <w:ilvl w:val="0"/>
          <w:numId w:val="3"/>
        </w:numPr>
        <w:ind w:left="360" w:right="272" w:firstLineChars="0"/>
        <w:jc w:val="left"/>
        <w:outlineLvl w:val="2"/>
        <w:rPr>
          <w:sz w:val="22"/>
        </w:rPr>
      </w:pPr>
      <w:r>
        <w:rPr>
          <w:rFonts w:hint="eastAsia" w:ascii="宋体" w:hAnsi="宋体"/>
          <w:b/>
          <w:bCs/>
          <w:color w:val="000000"/>
          <w:szCs w:val="18"/>
        </w:rPr>
        <w:t>合并资产负债表</w:t>
      </w:r>
      <w:r>
        <w:rPr>
          <w:rFonts w:ascii="宋体" w:hAnsi="宋体"/>
          <w:b/>
          <w:bCs/>
          <w:color w:val="000000"/>
          <w:szCs w:val="18"/>
        </w:rPr>
        <w:t xml:space="preserve"> </w:t>
      </w:r>
      <w:r>
        <w:rPr>
          <w:rFonts w:hint="eastAsia"/>
          <w:sz w:val="22"/>
        </w:rPr>
        <w:t xml:space="preserve">                                            </w:t>
      </w:r>
    </w:p>
    <w:p>
      <w:pPr>
        <w:tabs>
          <w:tab w:val="left" w:pos="5140"/>
        </w:tabs>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Arial" w:hAnsi="Arial" w:eastAsia="黑体" w:cs="Times New Roman"/>
          <w:b/>
          <w:bCs/>
          <w:sz w:val="22"/>
          <w:lang w:val="zh-CN" w:eastAsia="zh-CN"/>
        </w:rPr>
        <w:t xml:space="preserve">                                        </w:t>
      </w:r>
    </w:p>
    <w:tbl>
      <w:tblPr>
        <w:tblStyle w:val="46"/>
        <w:tblW w:w="5829"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3"/>
        <w:gridCol w:w="3423"/>
        <w:gridCol w:w="3421"/>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731"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2022年9月30日</w:t>
            </w:r>
          </w:p>
        </w:tc>
        <w:tc>
          <w:tcPr>
            <w:tcW w:w="1730" w:type="pct"/>
            <w:shd w:val="pct10" w:color="auto" w:fill="FFFFFF"/>
          </w:tcPr>
          <w:p>
            <w:pPr>
              <w:jc w:val="center"/>
              <w:rPr>
                <w:rFonts w:ascii="宋体" w:hAnsi="宋体" w:eastAsia="宋体" w:cs="宋体"/>
                <w:b/>
                <w:sz w:val="18"/>
                <w:szCs w:val="18"/>
              </w:rPr>
            </w:pPr>
            <w:r>
              <w:rPr>
                <w:rFonts w:ascii="宋体" w:hAnsi="宋体" w:eastAsia="宋体" w:cs="Times New Roman"/>
                <w:b/>
                <w:sz w:val="18"/>
                <w:szCs w:val="18"/>
              </w:rPr>
              <w:t>2021</w:t>
            </w:r>
            <w:r>
              <w:rPr>
                <w:rFonts w:hint="eastAsia" w:ascii="宋体" w:hAnsi="宋体" w:eastAsia="宋体" w:cs="Times New Roman"/>
                <w:b/>
                <w:sz w:val="18"/>
                <w:szCs w:val="18"/>
              </w:rPr>
              <w:t>年</w:t>
            </w:r>
            <w:r>
              <w:rPr>
                <w:rFonts w:ascii="宋体" w:hAnsi="宋体" w:eastAsia="宋体" w:cs="Times New Roman"/>
                <w:b/>
                <w:sz w:val="18"/>
                <w:szCs w:val="18"/>
              </w:rPr>
              <w:t>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tcPr>
          <w:p>
            <w:pPr>
              <w:jc w:val="left"/>
              <w:rPr>
                <w:rFonts w:ascii="宋体" w:hAnsi="宋体" w:eastAsia="宋体" w:cs="Times New Roman"/>
                <w:b/>
                <w:sz w:val="18"/>
                <w:szCs w:val="18"/>
              </w:rPr>
            </w:pPr>
            <w:r>
              <w:rPr>
                <w:rFonts w:hint="eastAsia" w:ascii="宋体" w:hAnsi="宋体" w:eastAsia="宋体" w:cs="Times New Roman"/>
                <w:b/>
                <w:sz w:val="18"/>
                <w:szCs w:val="18"/>
              </w:rPr>
              <w:t>流动资产：</w:t>
            </w:r>
          </w:p>
        </w:tc>
        <w:tc>
          <w:tcPr>
            <w:tcW w:w="1731" w:type="pct"/>
            <w:shd w:val="pct10" w:color="auto" w:fill="FFFFFF"/>
          </w:tcPr>
          <w:p>
            <w:pPr>
              <w:jc w:val="center"/>
              <w:rPr>
                <w:rFonts w:ascii="宋体" w:hAnsi="宋体" w:eastAsia="宋体" w:cs="Times New Roman"/>
                <w:b/>
                <w:sz w:val="18"/>
                <w:szCs w:val="18"/>
              </w:rPr>
            </w:pPr>
          </w:p>
        </w:tc>
        <w:tc>
          <w:tcPr>
            <w:tcW w:w="1730" w:type="pct"/>
            <w:shd w:val="pct10" w:color="auto" w:fill="FFFFFF"/>
          </w:tcPr>
          <w:p>
            <w:pPr>
              <w:jc w:val="center"/>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结算备付金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应收票据</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应收账款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保费</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w:t>
            </w:r>
            <w:r>
              <w:rPr>
                <w:rFonts w:ascii="宋体" w:hAnsi="宋体" w:eastAsia="宋体" w:cs="Times New Roman"/>
                <w:sz w:val="18"/>
                <w:szCs w:val="18"/>
              </w:rPr>
              <w:t>分保账款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应收分保合同准备金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ind w:firstLine="540" w:firstLineChars="300"/>
              <w:rPr>
                <w:rFonts w:ascii="宋体" w:hAnsi="宋体" w:eastAsia="宋体" w:cs="Times New Roman"/>
                <w:sz w:val="18"/>
                <w:szCs w:val="18"/>
              </w:rPr>
            </w:pPr>
            <w:r>
              <w:rPr>
                <w:rFonts w:hint="eastAsia" w:ascii="Calibri" w:hAnsi="Calibri" w:eastAsia="宋体" w:cs="Times New Roman"/>
                <w:sz w:val="18"/>
                <w:szCs w:val="18"/>
              </w:rPr>
              <w:t>应收股利</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买入返售金融资产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jc w:val="left"/>
              <w:rPr>
                <w:rFonts w:ascii="宋体" w:hAnsi="宋体" w:eastAsia="宋体" w:cs="宋体"/>
                <w:b/>
                <w:sz w:val="18"/>
                <w:szCs w:val="18"/>
              </w:rPr>
            </w:pPr>
            <w:r>
              <w:rPr>
                <w:rFonts w:hint="eastAsia" w:ascii="宋体" w:hAnsi="宋体" w:eastAsia="宋体" w:cs="Times New Roman"/>
                <w:b/>
                <w:sz w:val="18"/>
                <w:szCs w:val="18"/>
              </w:rPr>
              <w:t>非流动资产：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发放贷款及垫款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其他非流动资产</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05" w:hRule="atLeast"/>
        </w:trPr>
        <w:tc>
          <w:tcPr>
            <w:tcW w:w="1539"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短期借款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向中央银行借款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拆入资金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widowControl/>
              <w:jc w:val="left"/>
              <w:rPr>
                <w:rFonts w:ascii="Calibri" w:hAnsi="Calibri" w:eastAsia="宋体" w:cs="Times New Roman"/>
                <w:sz w:val="18"/>
                <w:szCs w:val="18"/>
              </w:rPr>
            </w:pPr>
            <w:r>
              <w:rPr>
                <w:rFonts w:hint="eastAsia" w:ascii="Calibri" w:hAnsi="Calibri" w:eastAsia="宋体" w:cs="Times New Roman"/>
                <w:sz w:val="18"/>
                <w:szCs w:val="18"/>
              </w:rPr>
              <w:t>应付票据</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应付账款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预收款项</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合同负债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吸收存款及同业存放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代理买卖</w:t>
            </w:r>
            <w:r>
              <w:rPr>
                <w:rFonts w:ascii="宋体" w:hAnsi="宋体" w:eastAsia="宋体" w:cs="Times New Roman"/>
                <w:sz w:val="18"/>
                <w:szCs w:val="18"/>
              </w:rPr>
              <w:t>证券款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代理承销</w:t>
            </w:r>
            <w:r>
              <w:rPr>
                <w:rFonts w:ascii="宋体" w:hAnsi="宋体" w:eastAsia="宋体" w:cs="Times New Roman"/>
                <w:sz w:val="18"/>
                <w:szCs w:val="18"/>
              </w:rPr>
              <w:t>证券款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应交税费</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其他应付款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widowControl/>
              <w:jc w:val="left"/>
              <w:rPr>
                <w:rFonts w:ascii="宋体" w:hAnsi="宋体" w:eastAsia="宋体" w:cs="Times New Roman"/>
                <w:sz w:val="18"/>
                <w:szCs w:val="18"/>
              </w:rPr>
            </w:pPr>
            <w:r>
              <w:rPr>
                <w:rFonts w:hint="eastAsia" w:ascii="Calibri" w:hAnsi="Calibri" w:eastAsia="宋体" w:cs="Times New Roman"/>
                <w:sz w:val="18"/>
                <w:szCs w:val="18"/>
              </w:rPr>
              <w:t>其中：应付利息</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tcPr>
          <w:p>
            <w:pPr>
              <w:widowControl/>
              <w:ind w:firstLine="540" w:firstLineChars="300"/>
              <w:jc w:val="left"/>
              <w:rPr>
                <w:rFonts w:ascii="宋体" w:hAnsi="宋体" w:eastAsia="宋体" w:cs="Times New Roman"/>
                <w:sz w:val="18"/>
                <w:szCs w:val="18"/>
              </w:rPr>
            </w:pPr>
            <w:r>
              <w:rPr>
                <w:rFonts w:hint="eastAsia" w:ascii="Calibri" w:hAnsi="Calibri" w:eastAsia="宋体" w:cs="Times New Roman"/>
                <w:sz w:val="18"/>
                <w:szCs w:val="18"/>
              </w:rPr>
              <w:t>应付股利</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应付手续费及佣金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w:t>
            </w:r>
            <w:r>
              <w:rPr>
                <w:rFonts w:ascii="宋体" w:hAnsi="宋体" w:eastAsia="宋体" w:cs="Times New Roman"/>
                <w:sz w:val="18"/>
                <w:szCs w:val="18"/>
              </w:rPr>
              <w:t>分保账款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保险合同准备金</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长期借款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应付债券</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rPr>
          <w:trHeight w:val="435" w:hRule="atLeast"/>
        </w:trPr>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 xml:space="preserve">      永续债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35" w:hRule="atLeast"/>
        </w:trPr>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长期应付款</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预计负债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递延收益</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5" w:hRule="atLeast"/>
        </w:trPr>
        <w:tc>
          <w:tcPr>
            <w:tcW w:w="1539"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widowControl/>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731" w:type="pct"/>
            <w:shd w:val="pct10" w:color="auto" w:fill="auto"/>
          </w:tcPr>
          <w:p>
            <w:pPr>
              <w:widowControl/>
              <w:jc w:val="right"/>
              <w:rPr>
                <w:rFonts w:ascii="宋体" w:hAnsi="宋体" w:eastAsia="宋体" w:cs="宋体"/>
                <w:kern w:val="0"/>
                <w:sz w:val="18"/>
                <w:szCs w:val="18"/>
              </w:rPr>
            </w:pPr>
          </w:p>
        </w:tc>
        <w:tc>
          <w:tcPr>
            <w:tcW w:w="1730" w:type="pct"/>
            <w:shd w:val="pct10"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276" w:hRule="atLeast"/>
        </w:trPr>
        <w:tc>
          <w:tcPr>
            <w:tcW w:w="1539" w:type="pct"/>
            <w:shd w:val="pct10" w:color="auto" w:fill="FFFFFF"/>
            <w:vAlign w:val="center"/>
          </w:tcPr>
          <w:p>
            <w:pPr>
              <w:widowControl/>
              <w:jc w:val="left"/>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股本</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其中：优先股</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ind w:firstLine="540" w:firstLineChars="300"/>
              <w:jc w:val="left"/>
              <w:rPr>
                <w:rFonts w:ascii="宋体" w:hAnsi="宋体" w:eastAsia="宋体" w:cs="Times New Roman"/>
                <w:sz w:val="18"/>
                <w:szCs w:val="18"/>
              </w:rPr>
            </w:pPr>
            <w:r>
              <w:rPr>
                <w:rFonts w:hint="eastAsia" w:ascii="宋体" w:hAnsi="宋体" w:eastAsia="宋体" w:cs="Times New Roman"/>
                <w:sz w:val="18"/>
                <w:szCs w:val="18"/>
              </w:rPr>
              <w:t>永续债</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资本公积</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减：库存股</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专项储备</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盈余公积</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未分配利润</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归属于母公司所有者权益合计</w:t>
            </w:r>
          </w:p>
        </w:tc>
        <w:tc>
          <w:tcPr>
            <w:tcW w:w="1731" w:type="pct"/>
            <w:shd w:val="clear" w:color="auto" w:fill="auto"/>
          </w:tcPr>
          <w:p>
            <w:pPr>
              <w:widowControl/>
              <w:jc w:val="right"/>
              <w:rPr>
                <w:rFonts w:ascii="宋体" w:hAnsi="宋体" w:eastAsia="宋体" w:cs="宋体"/>
                <w:kern w:val="0"/>
                <w:sz w:val="18"/>
                <w:szCs w:val="18"/>
              </w:rPr>
            </w:pPr>
          </w:p>
        </w:tc>
        <w:tc>
          <w:tcPr>
            <w:tcW w:w="1730" w:type="pct"/>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tcBorders>
              <w:bottom w:val="single" w:color="5B9BD5" w:sz="4" w:space="0"/>
            </w:tcBorders>
            <w:shd w:val="pct10" w:color="auto" w:fill="FFFFFF"/>
            <w:vAlign w:val="center"/>
          </w:tcPr>
          <w:p>
            <w:pPr>
              <w:widowControl/>
              <w:jc w:val="left"/>
              <w:rPr>
                <w:rFonts w:ascii="宋体" w:hAnsi="宋体" w:eastAsia="宋体" w:cs="Times New Roman"/>
                <w:sz w:val="18"/>
                <w:szCs w:val="18"/>
              </w:rPr>
            </w:pPr>
            <w:r>
              <w:rPr>
                <w:rFonts w:hint="eastAsia" w:ascii="宋体" w:hAnsi="宋体" w:eastAsia="宋体" w:cs="Times New Roman"/>
                <w:sz w:val="18"/>
                <w:szCs w:val="18"/>
              </w:rPr>
              <w:t>少数股东权益</w:t>
            </w:r>
          </w:p>
        </w:tc>
        <w:tc>
          <w:tcPr>
            <w:tcW w:w="1731" w:type="pct"/>
            <w:tcBorders>
              <w:bottom w:val="single" w:color="5B9BD5" w:sz="4" w:space="0"/>
            </w:tcBorders>
            <w:shd w:val="clear" w:color="auto" w:fill="auto"/>
          </w:tcPr>
          <w:p>
            <w:pPr>
              <w:widowControl/>
              <w:jc w:val="right"/>
              <w:rPr>
                <w:rFonts w:ascii="宋体" w:hAnsi="宋体" w:eastAsia="宋体" w:cs="宋体"/>
                <w:kern w:val="0"/>
                <w:sz w:val="18"/>
                <w:szCs w:val="18"/>
              </w:rPr>
            </w:pPr>
          </w:p>
        </w:tc>
        <w:tc>
          <w:tcPr>
            <w:tcW w:w="1730" w:type="pct"/>
            <w:tcBorders>
              <w:bottom w:val="single" w:color="5B9BD5" w:sz="4" w:space="0"/>
            </w:tcBorders>
            <w:shd w:val="clear" w:color="auto" w:fill="auto"/>
          </w:tcPr>
          <w:p>
            <w:pPr>
              <w:widowControl/>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198" w:hRule="atLeast"/>
        </w:trPr>
        <w:tc>
          <w:tcPr>
            <w:tcW w:w="1539"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所有者权益（或股东权益）合计</w:t>
            </w:r>
          </w:p>
        </w:tc>
        <w:tc>
          <w:tcPr>
            <w:tcW w:w="1731" w:type="pct"/>
            <w:shd w:val="pct10" w:color="auto" w:fill="auto"/>
          </w:tcPr>
          <w:p>
            <w:pPr>
              <w:widowControl/>
              <w:jc w:val="right"/>
              <w:rPr>
                <w:rFonts w:ascii="宋体" w:hAnsi="宋体" w:eastAsia="宋体" w:cs="宋体"/>
                <w:kern w:val="0"/>
                <w:sz w:val="18"/>
                <w:szCs w:val="18"/>
                <w:shd w:val="clear" w:color="auto" w:fill="D9D9D9"/>
              </w:rPr>
            </w:pPr>
          </w:p>
        </w:tc>
        <w:tc>
          <w:tcPr>
            <w:tcW w:w="1730" w:type="pct"/>
            <w:shd w:val="pct10" w:color="auto" w:fill="auto"/>
          </w:tcPr>
          <w:p>
            <w:pPr>
              <w:widowControl/>
              <w:jc w:val="right"/>
              <w:rPr>
                <w:rFonts w:ascii="宋体" w:hAnsi="宋体" w:eastAsia="宋体" w:cs="宋体"/>
                <w:kern w:val="0"/>
                <w:sz w:val="18"/>
                <w:szCs w:val="18"/>
                <w:shd w:val="clear" w:color="auto" w:fill="D9D9D9"/>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9" w:type="pct"/>
            <w:shd w:val="pct10" w:color="auto" w:fill="auto"/>
            <w:vAlign w:val="center"/>
          </w:tcPr>
          <w:p>
            <w:pPr>
              <w:widowControl/>
              <w:jc w:val="center"/>
              <w:rPr>
                <w:rFonts w:ascii="宋体" w:hAnsi="宋体" w:eastAsia="宋体" w:cs="Times New Roman"/>
                <w:b/>
                <w:sz w:val="18"/>
                <w:szCs w:val="18"/>
                <w:shd w:val="clear" w:color="auto" w:fill="D9D9D9"/>
              </w:rPr>
            </w:pPr>
            <w:r>
              <w:rPr>
                <w:rFonts w:hint="eastAsia" w:ascii="宋体" w:hAnsi="宋体" w:eastAsia="宋体" w:cs="Times New Roman"/>
                <w:b/>
                <w:sz w:val="18"/>
                <w:szCs w:val="18"/>
                <w:shd w:val="clear" w:color="auto" w:fill="D9D9D9"/>
              </w:rPr>
              <w:t>负债和所有者权益（或股东权益）总计</w:t>
            </w:r>
          </w:p>
        </w:tc>
        <w:tc>
          <w:tcPr>
            <w:tcW w:w="1731" w:type="pct"/>
            <w:shd w:val="pct10" w:color="auto" w:fill="auto"/>
          </w:tcPr>
          <w:p>
            <w:pPr>
              <w:widowControl/>
              <w:jc w:val="right"/>
              <w:rPr>
                <w:rFonts w:ascii="宋体" w:hAnsi="宋体" w:eastAsia="宋体" w:cs="宋体"/>
                <w:kern w:val="0"/>
                <w:sz w:val="18"/>
                <w:szCs w:val="18"/>
                <w:shd w:val="clear" w:color="auto" w:fill="D9D9D9"/>
              </w:rPr>
            </w:pPr>
          </w:p>
        </w:tc>
        <w:tc>
          <w:tcPr>
            <w:tcW w:w="1730" w:type="pct"/>
            <w:shd w:val="pct10" w:color="auto" w:fill="auto"/>
          </w:tcPr>
          <w:p>
            <w:pPr>
              <w:widowControl/>
              <w:jc w:val="right"/>
              <w:rPr>
                <w:rFonts w:ascii="宋体" w:hAnsi="宋体" w:eastAsia="宋体" w:cs="宋体"/>
                <w:kern w:val="0"/>
                <w:sz w:val="18"/>
                <w:szCs w:val="18"/>
                <w:shd w:val="clear" w:color="auto" w:fill="D9D9D9"/>
              </w:rPr>
            </w:pPr>
          </w:p>
        </w:tc>
      </w:tr>
    </w:tbl>
    <w:p>
      <w:pPr>
        <w:rPr>
          <w:rFonts w:ascii="Arial" w:hAnsi="Arial" w:eastAsia="黑体" w:cs="Times New Roman"/>
          <w:b/>
          <w:bCs/>
          <w:sz w:val="22"/>
          <w:lang w:val="zh-CN" w:eastAsia="zh-CN"/>
        </w:rPr>
      </w:pPr>
      <w:bookmarkStart w:id="3" w:name="_Toc241636376"/>
      <w:bookmarkStart w:id="4" w:name="_Toc247094005"/>
      <w:bookmarkStart w:id="5" w:name="_Toc247371780"/>
      <w:bookmarkStart w:id="6" w:name="_Toc369159466"/>
      <w:r>
        <w:rPr>
          <w:rFonts w:ascii="Calibri" w:hAnsi="Calibri" w:eastAsia="宋体" w:cs="Times New Roman"/>
          <w:sz w:val="18"/>
          <w:szCs w:val="18"/>
        </w:rPr>
        <w:t>法定代表人：_____________ 主管会计工作负责人：_____________ 会计机构负责人：_____________</w:t>
      </w:r>
      <w:bookmarkEnd w:id="3"/>
      <w:bookmarkEnd w:id="4"/>
      <w:bookmarkEnd w:id="5"/>
      <w:bookmarkEnd w:id="6"/>
    </w:p>
    <w:p>
      <w:pPr>
        <w:pStyle w:val="64"/>
        <w:widowControl/>
        <w:numPr>
          <w:ilvl w:val="0"/>
          <w:numId w:val="3"/>
        </w:numPr>
        <w:ind w:left="360" w:right="272" w:firstLineChars="0"/>
        <w:jc w:val="left"/>
        <w:outlineLvl w:val="2"/>
        <w:rPr>
          <w:rFonts w:ascii="宋体" w:hAnsi="宋体"/>
          <w:b/>
          <w:bCs/>
          <w:color w:val="000000"/>
          <w:szCs w:val="18"/>
        </w:rPr>
      </w:pPr>
      <w:bookmarkStart w:id="7" w:name="OLE_LINK3"/>
      <w:bookmarkStart w:id="8" w:name="OLE_LINK4"/>
      <w:r>
        <w:rPr>
          <w:rFonts w:hint="eastAsia" w:ascii="宋体" w:hAnsi="宋体"/>
          <w:b/>
          <w:bCs/>
          <w:color w:val="000000"/>
          <w:szCs w:val="18"/>
        </w:rPr>
        <w:t>母公司</w:t>
      </w:r>
      <w:r>
        <w:rPr>
          <w:rFonts w:ascii="宋体" w:hAnsi="宋体"/>
          <w:b/>
          <w:bCs/>
          <w:color w:val="000000"/>
          <w:szCs w:val="18"/>
        </w:rPr>
        <w:t>资产负债表</w:t>
      </w:r>
      <w:r>
        <w:rPr>
          <w:rFonts w:hint="eastAsia" w:ascii="宋体" w:hAnsi="宋体"/>
          <w:b/>
          <w:bCs/>
          <w:color w:val="000000"/>
          <w:szCs w:val="18"/>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bookmarkEnd w:id="7"/>
    <w:bookmarkEnd w:id="8"/>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044"/>
        <w:gridCol w:w="3430"/>
        <w:gridCol w:w="342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732" w:type="pct"/>
            <w:shd w:val="pct10" w:color="auto" w:fill="FFFFFF"/>
          </w:tcPr>
          <w:p>
            <w:pPr>
              <w:jc w:val="center"/>
              <w:rPr>
                <w:rFonts w:ascii="宋体" w:hAnsi="宋体" w:eastAsia="宋体" w:cs="宋体"/>
                <w:b/>
                <w:sz w:val="18"/>
                <w:szCs w:val="18"/>
              </w:rPr>
            </w:pPr>
            <w:r>
              <w:rPr>
                <w:rFonts w:hint="eastAsia" w:ascii="宋体" w:hAnsi="宋体" w:eastAsia="宋体" w:cs="Times New Roman"/>
                <w:b/>
                <w:sz w:val="18"/>
                <w:szCs w:val="18"/>
              </w:rPr>
              <w:t>2022年9月30日</w:t>
            </w:r>
          </w:p>
        </w:tc>
        <w:tc>
          <w:tcPr>
            <w:tcW w:w="1731" w:type="pct"/>
            <w:shd w:val="pct10" w:color="auto" w:fill="FFFFFF"/>
          </w:tcPr>
          <w:p>
            <w:pPr>
              <w:jc w:val="center"/>
              <w:rPr>
                <w:rFonts w:ascii="宋体" w:hAnsi="宋体" w:eastAsia="宋体" w:cs="宋体"/>
                <w:b/>
                <w:sz w:val="18"/>
                <w:szCs w:val="18"/>
              </w:rPr>
            </w:pPr>
            <w:r>
              <w:rPr>
                <w:rFonts w:ascii="宋体" w:hAnsi="宋体" w:eastAsia="宋体" w:cs="Times New Roman"/>
                <w:b/>
                <w:sz w:val="18"/>
                <w:szCs w:val="18"/>
              </w:rPr>
              <w:t>2021</w:t>
            </w:r>
            <w:r>
              <w:rPr>
                <w:rFonts w:hint="eastAsia" w:ascii="宋体" w:hAnsi="宋体" w:eastAsia="宋体" w:cs="Times New Roman"/>
                <w:b/>
                <w:sz w:val="18"/>
                <w:szCs w:val="18"/>
              </w:rPr>
              <w:t>年</w:t>
            </w:r>
            <w:r>
              <w:rPr>
                <w:rFonts w:ascii="宋体" w:hAnsi="宋体" w:eastAsia="宋体" w:cs="Times New Roman"/>
                <w:b/>
                <w:sz w:val="18"/>
                <w:szCs w:val="18"/>
              </w:rPr>
              <w:t>12月31日</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流动资产：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货币资金</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w:t>
            </w:r>
            <w:r>
              <w:rPr>
                <w:rFonts w:hint="eastAsia" w:ascii="宋体" w:hAnsi="宋体" w:eastAsia="宋体" w:cs="Times New Roman"/>
                <w:sz w:val="18"/>
                <w:szCs w:val="18"/>
              </w:rPr>
              <w:t>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应收票据</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应收账款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应收</w:t>
            </w:r>
            <w:r>
              <w:rPr>
                <w:rFonts w:ascii="Calibri" w:hAnsi="Calibri" w:eastAsia="宋体" w:cs="Times New Roman"/>
                <w:sz w:val="18"/>
                <w:szCs w:val="18"/>
              </w:rPr>
              <w:t>款项融资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预付款项</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其他应收款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Calibri" w:hAnsi="Calibri" w:eastAsia="宋体" w:cs="Times New Roman"/>
                <w:sz w:val="18"/>
                <w:szCs w:val="18"/>
              </w:rPr>
              <w:t>其中：应收利息</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ind w:left="458" w:leftChars="218"/>
              <w:rPr>
                <w:rFonts w:ascii="宋体" w:hAnsi="宋体" w:eastAsia="宋体" w:cs="Times New Roman"/>
                <w:sz w:val="18"/>
                <w:szCs w:val="18"/>
              </w:rPr>
            </w:pPr>
            <w:r>
              <w:rPr>
                <w:rFonts w:hint="eastAsia" w:ascii="Calibri" w:hAnsi="Calibri" w:eastAsia="宋体" w:cs="Times New Roman"/>
                <w:sz w:val="18"/>
                <w:szCs w:val="18"/>
              </w:rPr>
              <w:t>应收股利</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Calibri" w:hAnsi="Calibri" w:eastAsia="宋体" w:cs="Times New Roman"/>
                <w:sz w:val="18"/>
                <w:szCs w:val="18"/>
              </w:rPr>
            </w:pPr>
            <w:r>
              <w:rPr>
                <w:rFonts w:hint="eastAsia" w:ascii="Calibri" w:hAnsi="Calibri" w:eastAsia="宋体" w:cs="Times New Roman"/>
                <w:sz w:val="18"/>
                <w:szCs w:val="18"/>
              </w:rPr>
              <w:t>买入返售</w:t>
            </w:r>
            <w:r>
              <w:rPr>
                <w:rFonts w:ascii="Calibri" w:hAnsi="Calibri" w:eastAsia="宋体" w:cs="Times New Roman"/>
                <w:sz w:val="18"/>
                <w:szCs w:val="18"/>
              </w:rPr>
              <w:t>金融资产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存货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一年内到期的非流动资产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其他流动资产</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流动资产合计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非流动资产：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债权投资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债权投资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长期应收款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长期股权投资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权益工具投资</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w:t>
            </w:r>
            <w:r>
              <w:rPr>
                <w:rFonts w:ascii="宋体" w:hAnsi="宋体" w:eastAsia="宋体" w:cs="Times New Roman"/>
                <w:sz w:val="18"/>
                <w:szCs w:val="18"/>
              </w:rPr>
              <w:t>非流动金融资产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投资性房地产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固定资产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在建工程</w:t>
            </w:r>
          </w:p>
        </w:tc>
        <w:tc>
          <w:tcPr>
            <w:tcW w:w="1732" w:type="pct"/>
            <w:shd w:val="clear" w:color="auto" w:fill="auto"/>
          </w:tcPr>
          <w:p>
            <w:pPr>
              <w:ind w:right="90"/>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生产性生物资产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油气资产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使用权</w:t>
            </w:r>
            <w:r>
              <w:rPr>
                <w:rFonts w:ascii="宋体" w:hAnsi="宋体" w:eastAsia="宋体" w:cs="Times New Roman"/>
                <w:sz w:val="18"/>
                <w:szCs w:val="18"/>
              </w:rPr>
              <w:t>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无形资产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开发支出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商誉</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长期待摊费用</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递延所得税资产</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其他非流动资产</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非流动资产合计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资产总计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流动负债：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短期借款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交易性</w:t>
            </w:r>
            <w:r>
              <w:rPr>
                <w:rFonts w:ascii="宋体" w:hAnsi="宋体" w:eastAsia="宋体" w:cs="Times New Roman"/>
                <w:sz w:val="18"/>
                <w:szCs w:val="18"/>
              </w:rPr>
              <w:t>金融负债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衍生金融负债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应付票据</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应付账款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预收款项</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合同负债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卖出回购金融资产款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应付职工薪酬</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416" w:hRule="atLeast"/>
        </w:trPr>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应交税费</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其他应付款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rPr>
                <w:rFonts w:ascii="Calibri" w:hAnsi="Calibri" w:eastAsia="宋体" w:cs="Times New Roman"/>
                <w:sz w:val="18"/>
                <w:szCs w:val="18"/>
              </w:rPr>
            </w:pPr>
            <w:r>
              <w:rPr>
                <w:rFonts w:hint="eastAsia" w:ascii="Calibri" w:hAnsi="Calibri" w:eastAsia="宋体" w:cs="Times New Roman"/>
                <w:sz w:val="18"/>
                <w:szCs w:val="18"/>
              </w:rPr>
              <w:t>其中：应付利息</w:t>
            </w:r>
          </w:p>
        </w:tc>
        <w:tc>
          <w:tcPr>
            <w:tcW w:w="1732" w:type="pct"/>
            <w:shd w:val="clear" w:color="auto" w:fill="auto"/>
          </w:tcPr>
          <w:p>
            <w:pPr>
              <w:jc w:val="center"/>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tcPr>
          <w:p>
            <w:pPr>
              <w:ind w:firstLine="540" w:firstLineChars="300"/>
              <w:rPr>
                <w:rFonts w:ascii="Calibri" w:hAnsi="Calibri" w:eastAsia="宋体" w:cs="Times New Roman"/>
                <w:sz w:val="18"/>
                <w:szCs w:val="18"/>
              </w:rPr>
            </w:pPr>
            <w:r>
              <w:rPr>
                <w:rFonts w:hint="eastAsia" w:ascii="Calibri" w:hAnsi="Calibri" w:eastAsia="宋体" w:cs="Times New Roman"/>
                <w:sz w:val="18"/>
                <w:szCs w:val="18"/>
              </w:rPr>
              <w:t>应付股利</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持有待售负债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一年内到期的非流动负债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其他流动负债</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流动负债合计</w:t>
            </w:r>
          </w:p>
        </w:tc>
        <w:tc>
          <w:tcPr>
            <w:tcW w:w="1732" w:type="pct"/>
            <w:shd w:val="pct10" w:color="auto" w:fill="FFFFFF"/>
          </w:tcPr>
          <w:p>
            <w:pPr>
              <w:jc w:val="right"/>
              <w:rPr>
                <w:rFonts w:ascii="宋体" w:hAnsi="宋体" w:eastAsia="宋体" w:cs="Times New Roman"/>
                <w:b/>
                <w:sz w:val="18"/>
                <w:szCs w:val="18"/>
              </w:rPr>
            </w:pPr>
          </w:p>
        </w:tc>
        <w:tc>
          <w:tcPr>
            <w:tcW w:w="1731" w:type="pct"/>
            <w:shd w:val="pct10" w:color="auto" w:fill="FFFFFF"/>
          </w:tcPr>
          <w:p>
            <w:pPr>
              <w:jc w:val="right"/>
              <w:rPr>
                <w:rFonts w:ascii="宋体" w:hAnsi="宋体" w:eastAsia="宋体" w:cs="Times New Roman"/>
                <w:b/>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非流动负债：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长期借款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应付债券</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租赁</w:t>
            </w:r>
            <w:r>
              <w:rPr>
                <w:rFonts w:ascii="宋体" w:hAnsi="宋体" w:eastAsia="宋体" w:cs="Times New Roman"/>
                <w:sz w:val="18"/>
                <w:szCs w:val="18"/>
              </w:rPr>
              <w:t>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长期应付款</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长期应付职工薪酬</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预计负债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递延收益</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递延所得税负债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其他非流动负债</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非流动负债合计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所有者权益（或股东权益）：</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股本</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其他权益工具</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其中：优先股</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永续债</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资本公积</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减：库存股</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其他综合收益</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专项储备</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盈余公积</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一般风险准备</w:t>
            </w:r>
          </w:p>
        </w:tc>
        <w:tc>
          <w:tcPr>
            <w:tcW w:w="1732" w:type="pct"/>
            <w:shd w:val="clear" w:color="auto" w:fill="auto"/>
          </w:tcPr>
          <w:p>
            <w:pPr>
              <w:jc w:val="right"/>
              <w:rPr>
                <w:rFonts w:ascii="宋体" w:hAnsi="宋体" w:eastAsia="宋体" w:cs="Times New Roman"/>
                <w:sz w:val="18"/>
                <w:szCs w:val="18"/>
              </w:rPr>
            </w:pPr>
          </w:p>
        </w:tc>
        <w:tc>
          <w:tcPr>
            <w:tcW w:w="1731" w:type="pct"/>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未分配利润</w:t>
            </w:r>
          </w:p>
        </w:tc>
        <w:tc>
          <w:tcPr>
            <w:tcW w:w="1732" w:type="pct"/>
            <w:tcBorders>
              <w:bottom w:val="single" w:color="5B9BD5" w:sz="4" w:space="0"/>
            </w:tcBorders>
            <w:shd w:val="clear" w:color="auto" w:fill="auto"/>
          </w:tcPr>
          <w:p>
            <w:pPr>
              <w:jc w:val="right"/>
              <w:rPr>
                <w:rFonts w:ascii="宋体" w:hAnsi="宋体" w:eastAsia="宋体" w:cs="Times New Roman"/>
                <w:sz w:val="18"/>
                <w:szCs w:val="18"/>
              </w:rPr>
            </w:pPr>
          </w:p>
        </w:tc>
        <w:tc>
          <w:tcPr>
            <w:tcW w:w="1731" w:type="pct"/>
            <w:tcBorders>
              <w:bottom w:val="single" w:color="5B9BD5" w:sz="4" w:space="0"/>
            </w:tcBorders>
            <w:shd w:val="clear" w:color="auto" w:fill="auto"/>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所有者权益（或股东权益）合计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537"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负债和所有者权益（或股东权益）合计</w:t>
            </w:r>
          </w:p>
        </w:tc>
        <w:tc>
          <w:tcPr>
            <w:tcW w:w="1732" w:type="pct"/>
            <w:shd w:val="pct10" w:color="auto" w:fill="FFFFFF"/>
          </w:tcPr>
          <w:p>
            <w:pPr>
              <w:jc w:val="right"/>
              <w:rPr>
                <w:rFonts w:ascii="宋体" w:hAnsi="宋体" w:eastAsia="宋体" w:cs="Times New Roman"/>
                <w:sz w:val="18"/>
                <w:szCs w:val="18"/>
              </w:rPr>
            </w:pPr>
          </w:p>
        </w:tc>
        <w:tc>
          <w:tcPr>
            <w:tcW w:w="1731" w:type="pct"/>
            <w:shd w:val="pct10" w:color="auto" w:fill="FFFFFF"/>
          </w:tcPr>
          <w:p>
            <w:pPr>
              <w:jc w:val="right"/>
              <w:rPr>
                <w:rFonts w:ascii="宋体" w:hAnsi="宋体" w:eastAsia="宋体" w:cs="Times New Roman"/>
                <w:sz w:val="18"/>
                <w:szCs w:val="18"/>
              </w:rPr>
            </w:pPr>
          </w:p>
        </w:tc>
      </w:tr>
    </w:tbl>
    <w:p>
      <w:pPr>
        <w:pStyle w:val="64"/>
        <w:widowControl/>
        <w:numPr>
          <w:ilvl w:val="0"/>
          <w:numId w:val="3"/>
        </w:numPr>
        <w:ind w:left="360" w:right="272" w:firstLineChars="0"/>
        <w:jc w:val="left"/>
        <w:outlineLvl w:val="2"/>
        <w:rPr>
          <w:rFonts w:ascii="宋体" w:hAnsi="宋体" w:eastAsia="黑体"/>
          <w:color w:val="000000"/>
          <w:sz w:val="22"/>
          <w:szCs w:val="18"/>
        </w:rPr>
      </w:pPr>
      <w:r>
        <w:rPr>
          <w:rFonts w:hint="eastAsia" w:ascii="宋体" w:hAnsi="宋体" w:eastAsia="黑体"/>
          <w:b/>
          <w:bCs/>
          <w:color w:val="000000"/>
          <w:sz w:val="22"/>
          <w:szCs w:val="18"/>
        </w:rPr>
        <w:t>合并利润表</w:t>
      </w:r>
      <w:r>
        <w:rPr>
          <w:rFonts w:ascii="宋体" w:hAnsi="宋体" w:eastAsia="黑体"/>
          <w:b/>
          <w:bCs/>
          <w:color w:val="000000"/>
          <w:sz w:val="22"/>
          <w:szCs w:val="18"/>
        </w:rPr>
        <w:t xml:space="preserve"> </w:t>
      </w:r>
    </w:p>
    <w:p>
      <w:pPr>
        <w:ind w:left="630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65"/>
        <w:gridCol w:w="1592"/>
        <w:gridCol w:w="1448"/>
        <w:gridCol w:w="1592"/>
        <w:gridCol w:w="1505"/>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804" w:type="pct"/>
            <w:shd w:val="pct10" w:color="auto" w:fill="FFFFFF"/>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2022年7-9月</w:t>
            </w:r>
          </w:p>
        </w:tc>
        <w:tc>
          <w:tcPr>
            <w:tcW w:w="731" w:type="pct"/>
            <w:shd w:val="pct10" w:color="auto" w:fill="FFFFFF"/>
          </w:tcPr>
          <w:p>
            <w:pPr>
              <w:jc w:val="center"/>
              <w:rPr>
                <w:rFonts w:ascii="宋体" w:hAnsi="宋体" w:eastAsia="宋体" w:cs="Times New Roman"/>
                <w:b/>
                <w:sz w:val="18"/>
                <w:szCs w:val="18"/>
              </w:rPr>
            </w:pPr>
            <w:r>
              <w:rPr>
                <w:rFonts w:ascii="宋体" w:hAnsi="宋体" w:eastAsia="宋体" w:cs="Times New Roman"/>
                <w:b/>
                <w:sz w:val="18"/>
                <w:szCs w:val="18"/>
              </w:rPr>
              <w:t>2021</w:t>
            </w:r>
            <w:r>
              <w:rPr>
                <w:rFonts w:hint="eastAsia" w:ascii="宋体" w:hAnsi="宋体" w:eastAsia="宋体" w:cs="Times New Roman"/>
                <w:b/>
                <w:sz w:val="18"/>
                <w:szCs w:val="18"/>
              </w:rPr>
              <w:t>年</w:t>
            </w:r>
            <w:r>
              <w:rPr>
                <w:rFonts w:ascii="宋体" w:hAnsi="宋体" w:eastAsia="宋体" w:cs="Times New Roman"/>
                <w:b/>
                <w:sz w:val="18"/>
                <w:szCs w:val="18"/>
              </w:rPr>
              <w:t>7-9月</w:t>
            </w:r>
          </w:p>
        </w:tc>
        <w:tc>
          <w:tcPr>
            <w:tcW w:w="80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2022年1-9月</w:t>
            </w:r>
          </w:p>
        </w:tc>
        <w:tc>
          <w:tcPr>
            <w:tcW w:w="760" w:type="pct"/>
            <w:shd w:val="pct10" w:color="auto" w:fill="FFFFFF"/>
          </w:tcPr>
          <w:p>
            <w:pPr>
              <w:tabs>
                <w:tab w:val="center" w:pos="629"/>
              </w:tabs>
              <w:rPr>
                <w:rFonts w:ascii="宋体" w:hAnsi="宋体" w:eastAsia="宋体" w:cs="Times New Roman"/>
                <w:b/>
                <w:sz w:val="18"/>
                <w:szCs w:val="18"/>
              </w:rPr>
            </w:pPr>
            <w:r>
              <w:rPr>
                <w:rFonts w:ascii="宋体" w:hAnsi="宋体" w:eastAsia="宋体" w:cs="Times New Roman"/>
                <w:b/>
                <w:sz w:val="18"/>
                <w:szCs w:val="18"/>
              </w:rPr>
              <w:tab/>
            </w:r>
            <w:r>
              <w:rPr>
                <w:rFonts w:ascii="宋体" w:hAnsi="宋体" w:eastAsia="宋体" w:cs="Times New Roman"/>
                <w:b/>
                <w:sz w:val="18"/>
                <w:szCs w:val="18"/>
              </w:rPr>
              <w:t>2021</w:t>
            </w:r>
            <w:r>
              <w:rPr>
                <w:rFonts w:hint="eastAsia" w:ascii="宋体" w:hAnsi="宋体" w:eastAsia="宋体" w:cs="Times New Roman"/>
                <w:b/>
                <w:sz w:val="18"/>
                <w:szCs w:val="18"/>
              </w:rPr>
              <w:t>年</w:t>
            </w:r>
            <w:r>
              <w:rPr>
                <w:rFonts w:ascii="宋体" w:hAnsi="宋体" w:eastAsia="宋体" w:cs="Times New Roman"/>
                <w:b/>
                <w:sz w:val="18"/>
                <w:szCs w:val="18"/>
              </w:rPr>
              <w:t>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一、营业总收入</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其中：营业收入</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利息收入</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已赚保费</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手续费及佣金收入</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二、营业总成本</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其中：营业成本</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利息支出</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手续费及佣金支出</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退保金</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赔付支出净额</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提取保险责任准备金净额</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保单红利支出</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分保费用</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税金及附加</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销售费用</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管理费用</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研发费用</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ind w:firstLine="540" w:firstLineChars="300"/>
              <w:rPr>
                <w:rFonts w:ascii="宋体" w:hAnsi="宋体" w:eastAsia="宋体" w:cs="宋体"/>
                <w:sz w:val="18"/>
                <w:szCs w:val="18"/>
              </w:rPr>
            </w:pPr>
            <w:r>
              <w:rPr>
                <w:rFonts w:hint="eastAsia" w:ascii="宋体" w:hAnsi="宋体" w:eastAsia="宋体" w:cs="Times New Roman"/>
                <w:sz w:val="18"/>
                <w:szCs w:val="18"/>
              </w:rPr>
              <w:t>财务费用</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540" w:firstLineChars="30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1080" w:firstLineChars="600"/>
              <w:rPr>
                <w:rFonts w:ascii="宋体" w:hAnsi="宋体" w:eastAsia="宋体" w:cs="Times New Roman"/>
                <w:sz w:val="18"/>
                <w:szCs w:val="18"/>
              </w:rPr>
            </w:pPr>
            <w:r>
              <w:rPr>
                <w:rFonts w:hint="eastAsia" w:ascii="宋体" w:hAnsi="宋体" w:eastAsia="宋体" w:cs="Times New Roman"/>
                <w:sz w:val="18"/>
                <w:szCs w:val="18"/>
              </w:rPr>
              <w:t>利息收入</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投资收益（损失以“－”号填列）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360" w:firstLineChars="200"/>
              <w:rPr>
                <w:rFonts w:ascii="宋体" w:hAnsi="宋体" w:eastAsia="宋体" w:cs="宋体"/>
                <w:sz w:val="18"/>
                <w:szCs w:val="18"/>
              </w:rPr>
            </w:pPr>
            <w:r>
              <w:rPr>
                <w:rFonts w:hint="eastAsia" w:ascii="宋体" w:hAnsi="宋体" w:eastAsia="宋体" w:cs="Times New Roman"/>
                <w:sz w:val="18"/>
                <w:szCs w:val="18"/>
              </w:rPr>
              <w:t>其中：对联营企业和合营企业的投资收益（损失以“-”号填列）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900" w:firstLineChars="50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以摊余成本计量的金融资产终止确认收益（损失以“-”号填列）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270" w:firstLineChars="150"/>
              <w:rPr>
                <w:rFonts w:ascii="宋体" w:hAnsi="宋体" w:eastAsia="宋体" w:cs="宋体"/>
                <w:sz w:val="18"/>
                <w:szCs w:val="18"/>
              </w:rPr>
            </w:pPr>
            <w:r>
              <w:rPr>
                <w:rFonts w:hint="eastAsia" w:ascii="宋体" w:hAnsi="宋体" w:eastAsia="宋体" w:cs="Times New Roman"/>
                <w:sz w:val="18"/>
                <w:szCs w:val="18"/>
              </w:rPr>
              <w:t>汇兑收益（损失以“-”号填列）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信用减值损失（损失以“－”号填列）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资产减值损失（损失以“－”号填列）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ind w:firstLine="270" w:firstLineChars="150"/>
              <w:rPr>
                <w:rFonts w:ascii="宋体" w:hAnsi="宋体" w:eastAsia="宋体" w:cs="Times New Roman"/>
                <w:sz w:val="18"/>
                <w:szCs w:val="18"/>
              </w:rPr>
            </w:pPr>
            <w:r>
              <w:rPr>
                <w:rFonts w:hint="eastAsia" w:ascii="宋体" w:hAnsi="宋体" w:eastAsia="宋体" w:cs="Times New Roman"/>
                <w:sz w:val="18"/>
                <w:szCs w:val="18"/>
              </w:rPr>
              <w:t>资产处置收益（损失以“-”号填列）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三、营业利润（亏损以“－”号填列）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加：营业外收入</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减：营业外支出</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四、利润总额（亏损总额以“－”号填列）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减：所得税费用</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五、净利润（净亏损以“－”号填列）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color w:val="000000"/>
                <w:sz w:val="18"/>
                <w:szCs w:val="18"/>
              </w:rPr>
              <w:t>其中：被合并方在合并前实现的净利润</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（一）按</w:t>
            </w:r>
            <w:r>
              <w:rPr>
                <w:rFonts w:ascii="宋体" w:hAnsi="宋体" w:eastAsia="宋体" w:cs="Times New Roman"/>
                <w:color w:val="000000"/>
                <w:sz w:val="18"/>
                <w:szCs w:val="18"/>
              </w:rPr>
              <w:t>经营持续性分类：</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（二）按</w:t>
            </w:r>
            <w:r>
              <w:rPr>
                <w:rFonts w:ascii="宋体" w:hAnsi="宋体" w:eastAsia="宋体" w:cs="Times New Roman"/>
                <w:sz w:val="18"/>
                <w:szCs w:val="18"/>
              </w:rPr>
              <w:t>所有权归属分类</w:t>
            </w:r>
            <w:r>
              <w:rPr>
                <w:rFonts w:hint="eastAsia" w:ascii="宋体" w:hAnsi="宋体" w:eastAsia="宋体" w:cs="Times New Roman"/>
                <w:sz w:val="18"/>
                <w:szCs w:val="18"/>
              </w:rPr>
              <w:t>：</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1.少数股东损益（净亏损以“-”号填列）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sz w:val="18"/>
                <w:szCs w:val="18"/>
              </w:rPr>
              <w:t>2.归属于母公司所有者的净利润（净亏损以“-”号填列）</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六、其他综合收益的税后净额</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（一）归属于母公司所有者的其他综合收益的税后净额</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宋体" w:hAnsi="宋体" w:eastAsia="宋体" w:cs="Times New Roman"/>
                <w:sz w:val="18"/>
                <w:szCs w:val="18"/>
              </w:rPr>
              <w:t>.</w:t>
            </w:r>
            <w:r>
              <w:rPr>
                <w:rFonts w:hint="eastAsia" w:ascii="宋体" w:hAnsi="宋体" w:eastAsia="宋体" w:cs="Times New Roman"/>
                <w:sz w:val="18"/>
                <w:szCs w:val="18"/>
              </w:rPr>
              <w:t>不能重分类进损益的其他综合收益</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（1）重新计量设定受益计划变动额</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（2）权益法下不能转损益的其他综合收益</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tcPr>
          <w:p>
            <w:pPr>
              <w:rPr>
                <w:rFonts w:ascii="Calibri" w:hAnsi="Calibri" w:eastAsia="宋体" w:cs="Times New Roman"/>
                <w:sz w:val="18"/>
                <w:szCs w:val="18"/>
              </w:rPr>
            </w:pPr>
            <w:r>
              <w:rPr>
                <w:rFonts w:hint="eastAsia" w:ascii="宋体" w:hAnsi="宋体" w:eastAsia="宋体" w:cs="Times New Roman"/>
                <w:color w:val="000000"/>
                <w:sz w:val="18"/>
                <w:szCs w:val="18"/>
              </w:rPr>
              <w:t>（5）其他</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ascii="宋体" w:hAnsi="宋体" w:eastAsia="宋体" w:cs="Times New Roman"/>
                <w:sz w:val="18"/>
                <w:szCs w:val="18"/>
              </w:rPr>
              <w:t>.</w:t>
            </w:r>
            <w:r>
              <w:rPr>
                <w:rFonts w:hint="eastAsia" w:ascii="宋体" w:hAnsi="宋体" w:eastAsia="宋体" w:cs="Times New Roman"/>
                <w:sz w:val="18"/>
                <w:szCs w:val="18"/>
              </w:rPr>
              <w:t>将重分类进损益的其他综合收益</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（2）其他债权投资公允价值变动</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3</w:t>
            </w:r>
            <w:r>
              <w:rPr>
                <w:rFonts w:hint="eastAsia" w:ascii="宋体" w:hAnsi="宋体" w:eastAsia="宋体" w:cs="Times New Roman"/>
                <w:sz w:val="18"/>
                <w:szCs w:val="18"/>
              </w:rPr>
              <w:t>）金融资产重分类计入其他综合收益的金额</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4</w:t>
            </w:r>
            <w:r>
              <w:rPr>
                <w:rFonts w:hint="eastAsia" w:ascii="宋体" w:hAnsi="宋体" w:eastAsia="宋体" w:cs="Times New Roman"/>
                <w:sz w:val="18"/>
                <w:szCs w:val="18"/>
              </w:rPr>
              <w:t>）其他债权投资信用减值准备</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w:t>
            </w:r>
            <w:r>
              <w:rPr>
                <w:rFonts w:ascii="宋体" w:hAnsi="宋体" w:eastAsia="宋体" w:cs="Times New Roman"/>
                <w:sz w:val="18"/>
                <w:szCs w:val="18"/>
              </w:rPr>
              <w:t>5</w:t>
            </w:r>
            <w:r>
              <w:rPr>
                <w:rFonts w:hint="eastAsia" w:ascii="宋体" w:hAnsi="宋体" w:eastAsia="宋体" w:cs="Times New Roman"/>
                <w:sz w:val="18"/>
                <w:szCs w:val="18"/>
              </w:rPr>
              <w:t>）现金流量套期储备</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6</w:t>
            </w:r>
            <w:r>
              <w:rPr>
                <w:rFonts w:hint="eastAsia" w:ascii="宋体" w:hAnsi="宋体" w:eastAsia="宋体" w:cs="Times New Roman"/>
                <w:color w:val="000000"/>
                <w:sz w:val="18"/>
                <w:szCs w:val="18"/>
              </w:rPr>
              <w:t>）外币财务报表折算差额</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w:t>
            </w:r>
            <w:r>
              <w:rPr>
                <w:rFonts w:ascii="宋体" w:hAnsi="宋体" w:eastAsia="宋体" w:cs="Times New Roman"/>
                <w:color w:val="000000"/>
                <w:sz w:val="18"/>
                <w:szCs w:val="18"/>
              </w:rPr>
              <w:t>7</w:t>
            </w:r>
            <w:r>
              <w:rPr>
                <w:rFonts w:hint="eastAsia" w:ascii="宋体" w:hAnsi="宋体" w:eastAsia="宋体" w:cs="Times New Roman"/>
                <w:color w:val="000000"/>
                <w:sz w:val="18"/>
                <w:szCs w:val="18"/>
              </w:rPr>
              <w:t>）其他</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 xml:space="preserve">（二）归属于少数股东的其他综合收益的税后净额 </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b/>
                <w:color w:val="000000"/>
                <w:sz w:val="18"/>
                <w:szCs w:val="18"/>
              </w:rPr>
            </w:pPr>
            <w:r>
              <w:rPr>
                <w:rFonts w:hint="eastAsia" w:ascii="宋体" w:hAnsi="宋体" w:eastAsia="宋体" w:cs="Times New Roman"/>
                <w:b/>
                <w:color w:val="000000"/>
                <w:sz w:val="18"/>
                <w:szCs w:val="18"/>
              </w:rPr>
              <w:t>七、综合收益总额</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（一）归属于母公司所有者的综合收益总额</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color w:val="000000"/>
                <w:sz w:val="18"/>
                <w:szCs w:val="18"/>
              </w:rPr>
            </w:pPr>
            <w:r>
              <w:rPr>
                <w:rFonts w:hint="eastAsia" w:ascii="宋体" w:hAnsi="宋体" w:eastAsia="宋体" w:cs="Times New Roman"/>
                <w:color w:val="000000"/>
                <w:sz w:val="18"/>
                <w:szCs w:val="18"/>
              </w:rPr>
              <w:t>（二）归属于少数股东的综合收益总额</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八、每股收益：</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（一）基本每股收益（元/股）</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（二）稀释每股收益（元/股）</w:t>
            </w:r>
          </w:p>
        </w:tc>
        <w:tc>
          <w:tcPr>
            <w:tcW w:w="804" w:type="pct"/>
            <w:shd w:val="clear" w:color="auto" w:fill="auto"/>
          </w:tcPr>
          <w:p>
            <w:pPr>
              <w:jc w:val="right"/>
              <w:rPr>
                <w:rFonts w:ascii="宋体" w:hAnsi="宋体" w:eastAsia="宋体" w:cs="Times New Roman"/>
                <w:sz w:val="18"/>
                <w:szCs w:val="18"/>
              </w:rPr>
            </w:pPr>
          </w:p>
        </w:tc>
        <w:tc>
          <w:tcPr>
            <w:tcW w:w="731" w:type="pct"/>
          </w:tcPr>
          <w:p>
            <w:pPr>
              <w:jc w:val="right"/>
              <w:rPr>
                <w:rFonts w:ascii="宋体" w:hAnsi="宋体" w:eastAsia="宋体" w:cs="Times New Roman"/>
                <w:sz w:val="18"/>
                <w:szCs w:val="18"/>
              </w:rPr>
            </w:pPr>
          </w:p>
        </w:tc>
        <w:tc>
          <w:tcPr>
            <w:tcW w:w="804" w:type="pct"/>
            <w:shd w:val="clear" w:color="auto" w:fill="auto"/>
          </w:tcPr>
          <w:p>
            <w:pPr>
              <w:jc w:val="right"/>
              <w:rPr>
                <w:rFonts w:ascii="宋体" w:hAnsi="宋体" w:eastAsia="宋体" w:cs="Times New Roman"/>
                <w:sz w:val="18"/>
                <w:szCs w:val="18"/>
              </w:rPr>
            </w:pPr>
          </w:p>
        </w:tc>
        <w:tc>
          <w:tcPr>
            <w:tcW w:w="760" w:type="pct"/>
          </w:tcPr>
          <w:p>
            <w:pPr>
              <w:jc w:val="right"/>
              <w:rPr>
                <w:rFonts w:ascii="宋体" w:hAnsi="宋体" w:eastAsia="宋体" w:cs="Times New Roman"/>
                <w:sz w:val="18"/>
                <w:szCs w:val="18"/>
              </w:rPr>
            </w:pPr>
          </w:p>
        </w:tc>
      </w:tr>
    </w:tbl>
    <w:p>
      <w:pPr>
        <w:widowControl/>
        <w:jc w:val="left"/>
        <w:rPr>
          <w:rFonts w:ascii="宋体" w:hAnsi="宋体" w:eastAsia="宋体" w:cs="宋体"/>
          <w:kern w:val="0"/>
          <w:sz w:val="18"/>
          <w:szCs w:val="18"/>
        </w:rPr>
      </w:pPr>
      <w:r>
        <w:rPr>
          <w:rFonts w:ascii="Calibri" w:hAnsi="Calibri" w:eastAsia="宋体" w:cs="Times New Roman"/>
          <w:sz w:val="18"/>
          <w:szCs w:val="18"/>
        </w:rPr>
        <w:t>　法定代表人：_____________ 主管会计工作负责人：_____________ 会计机构负责人：_____________</w:t>
      </w:r>
    </w:p>
    <w:p>
      <w:pPr>
        <w:pStyle w:val="64"/>
        <w:widowControl/>
        <w:numPr>
          <w:ilvl w:val="0"/>
          <w:numId w:val="3"/>
        </w:numPr>
        <w:ind w:left="360" w:right="272" w:firstLineChars="0"/>
        <w:jc w:val="left"/>
        <w:outlineLvl w:val="2"/>
        <w:rPr>
          <w:rFonts w:ascii="宋体" w:hAnsi="宋体" w:eastAsia="黑体"/>
          <w:color w:val="000000"/>
          <w:sz w:val="22"/>
          <w:szCs w:val="18"/>
        </w:rPr>
      </w:pPr>
      <w:r>
        <w:rPr>
          <w:rFonts w:hint="eastAsia" w:ascii="宋体" w:hAnsi="宋体" w:eastAsia="黑体"/>
          <w:b/>
          <w:bCs/>
          <w:color w:val="000000"/>
          <w:sz w:val="22"/>
          <w:szCs w:val="18"/>
        </w:rPr>
        <w:t>母公司利润表</w:t>
      </w:r>
    </w:p>
    <w:p>
      <w:pPr>
        <w:pStyle w:val="64"/>
        <w:ind w:left="360" w:right="105" w:firstLine="0" w:firstLineChars="0"/>
        <w:jc w:val="right"/>
      </w:pPr>
      <w:r>
        <w:rPr>
          <w:rFonts w:hint="eastAsia"/>
        </w:rPr>
        <w:t>单位</w:t>
      </w:r>
      <w: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3765"/>
        <w:gridCol w:w="1592"/>
        <w:gridCol w:w="1448"/>
        <w:gridCol w:w="1497"/>
        <w:gridCol w:w="1600"/>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804"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2022年7-9月</w:t>
            </w:r>
          </w:p>
        </w:tc>
        <w:tc>
          <w:tcPr>
            <w:tcW w:w="731" w:type="pct"/>
            <w:shd w:val="pct10" w:color="auto" w:fill="FFFFFF"/>
          </w:tcPr>
          <w:p>
            <w:pPr>
              <w:jc w:val="center"/>
              <w:rPr>
                <w:rFonts w:ascii="宋体" w:hAnsi="宋体" w:eastAsia="宋体" w:cs="Times New Roman"/>
                <w:b/>
                <w:sz w:val="18"/>
                <w:szCs w:val="18"/>
              </w:rPr>
            </w:pPr>
            <w:r>
              <w:rPr>
                <w:rFonts w:ascii="宋体" w:hAnsi="宋体" w:eastAsia="宋体" w:cs="Times New Roman"/>
                <w:b/>
                <w:sz w:val="18"/>
                <w:szCs w:val="18"/>
              </w:rPr>
              <w:t>2021</w:t>
            </w:r>
            <w:r>
              <w:rPr>
                <w:rFonts w:hint="eastAsia" w:ascii="宋体" w:hAnsi="宋体" w:eastAsia="宋体" w:cs="Times New Roman"/>
                <w:b/>
                <w:sz w:val="18"/>
                <w:szCs w:val="18"/>
              </w:rPr>
              <w:t>年</w:t>
            </w:r>
            <w:r>
              <w:rPr>
                <w:rFonts w:ascii="宋体" w:hAnsi="宋体" w:eastAsia="宋体" w:cs="Times New Roman"/>
                <w:b/>
                <w:sz w:val="18"/>
                <w:szCs w:val="18"/>
              </w:rPr>
              <w:t>7-9月</w:t>
            </w:r>
          </w:p>
        </w:tc>
        <w:tc>
          <w:tcPr>
            <w:tcW w:w="756" w:type="pct"/>
            <w:shd w:val="pct10" w:color="auto" w:fill="FFFFFF"/>
            <w:vAlign w:val="center"/>
          </w:tcPr>
          <w:p>
            <w:pPr>
              <w:jc w:val="center"/>
              <w:rPr>
                <w:rFonts w:ascii="宋体" w:hAnsi="宋体" w:eastAsia="宋体" w:cs="Times New Roman"/>
                <w:b/>
                <w:sz w:val="18"/>
                <w:szCs w:val="18"/>
              </w:rPr>
            </w:pPr>
            <w:r>
              <w:rPr>
                <w:rFonts w:ascii="宋体" w:hAnsi="宋体" w:eastAsia="宋体" w:cs="Times New Roman"/>
                <w:b/>
                <w:sz w:val="18"/>
                <w:szCs w:val="18"/>
              </w:rPr>
              <w:t>2022</w:t>
            </w:r>
            <w:r>
              <w:rPr>
                <w:rFonts w:hint="eastAsia" w:ascii="宋体" w:hAnsi="宋体" w:eastAsia="宋体" w:cs="Times New Roman"/>
                <w:b/>
                <w:sz w:val="18"/>
                <w:szCs w:val="18"/>
              </w:rPr>
              <w:t>年</w:t>
            </w:r>
            <w:r>
              <w:rPr>
                <w:rFonts w:ascii="宋体" w:hAnsi="宋体" w:eastAsia="宋体" w:cs="Times New Roman"/>
                <w:b/>
                <w:sz w:val="18"/>
                <w:szCs w:val="18"/>
              </w:rPr>
              <w:t>1-9月</w:t>
            </w:r>
          </w:p>
        </w:tc>
        <w:tc>
          <w:tcPr>
            <w:tcW w:w="808" w:type="pct"/>
            <w:shd w:val="pct10" w:color="auto" w:fill="FFFFFF"/>
          </w:tcPr>
          <w:p>
            <w:pPr>
              <w:jc w:val="center"/>
              <w:rPr>
                <w:rFonts w:ascii="宋体" w:hAnsi="宋体" w:eastAsia="宋体" w:cs="Times New Roman"/>
                <w:b/>
                <w:sz w:val="18"/>
                <w:szCs w:val="18"/>
              </w:rPr>
            </w:pPr>
            <w:r>
              <w:rPr>
                <w:rFonts w:ascii="宋体" w:hAnsi="宋体" w:eastAsia="宋体" w:cs="Times New Roman"/>
                <w:b/>
                <w:sz w:val="18"/>
                <w:szCs w:val="18"/>
              </w:rPr>
              <w:t>2021</w:t>
            </w:r>
            <w:r>
              <w:rPr>
                <w:rFonts w:hint="eastAsia" w:ascii="宋体" w:hAnsi="宋体" w:eastAsia="宋体" w:cs="Times New Roman"/>
                <w:b/>
                <w:sz w:val="18"/>
                <w:szCs w:val="18"/>
              </w:rPr>
              <w:t>年</w:t>
            </w:r>
            <w:r>
              <w:rPr>
                <w:rFonts w:ascii="宋体" w:hAnsi="宋体" w:eastAsia="宋体" w:cs="Times New Roman"/>
                <w:b/>
                <w:sz w:val="18"/>
                <w:szCs w:val="18"/>
              </w:rPr>
              <w:t>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一、营业收入</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减：营业成本</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税金及附加</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销售费用</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管理费用</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研发费用</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财务费用</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其中：利息费用</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tcPr>
          <w:p>
            <w:pPr>
              <w:ind w:left="884" w:leftChars="421"/>
              <w:rPr>
                <w:rFonts w:ascii="宋体" w:hAnsi="宋体" w:eastAsia="宋体" w:cs="Times New Roman"/>
                <w:sz w:val="18"/>
                <w:szCs w:val="18"/>
              </w:rPr>
            </w:pPr>
            <w:r>
              <w:rPr>
                <w:rFonts w:hint="eastAsia" w:ascii="宋体" w:hAnsi="宋体" w:eastAsia="宋体" w:cs="Times New Roman"/>
                <w:sz w:val="18"/>
                <w:szCs w:val="18"/>
              </w:rPr>
              <w:t>利息收入</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w:t>
            </w:r>
            <w:r>
              <w:rPr>
                <w:rFonts w:hint="eastAsia" w:ascii="宋体" w:hAnsi="宋体" w:eastAsia="宋体" w:cs="Times New Roman"/>
                <w:color w:val="000000"/>
                <w:sz w:val="18"/>
                <w:szCs w:val="18"/>
              </w:rPr>
              <w:t>其他收益</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投资收益（损失以“－”号填列）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其中：对联营企业和合营企业的投资收益（损失以“-”号填列）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firstLine="810" w:firstLineChars="450"/>
              <w:rPr>
                <w:rFonts w:ascii="宋体" w:hAnsi="宋体" w:eastAsia="宋体" w:cs="Times New Roman"/>
                <w:sz w:val="18"/>
                <w:szCs w:val="18"/>
              </w:rPr>
            </w:pPr>
            <w:r>
              <w:rPr>
                <w:rFonts w:hint="eastAsia" w:ascii="宋体" w:hAnsi="宋体" w:eastAsia="宋体" w:cs="Times New Roman"/>
                <w:sz w:val="18"/>
                <w:szCs w:val="18"/>
              </w:rPr>
              <w:t>以摊余成本计量的金融资产终止确认收益</w:t>
            </w:r>
          </w:p>
          <w:p>
            <w:pPr>
              <w:rPr>
                <w:rFonts w:ascii="宋体" w:hAnsi="宋体" w:eastAsia="宋体" w:cs="Times New Roman"/>
                <w:sz w:val="18"/>
                <w:szCs w:val="18"/>
              </w:rPr>
            </w:pPr>
            <w:r>
              <w:rPr>
                <w:rFonts w:hint="eastAsia" w:ascii="宋体" w:hAnsi="宋体" w:eastAsia="宋体" w:cs="Times New Roman"/>
                <w:sz w:val="18"/>
                <w:szCs w:val="18"/>
              </w:rPr>
              <w:t>（损失以“-”号填列）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汇兑收益（损失以“-”号填列）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净敞口套期收益（损失以“-”号填列）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left="315" w:leftChars="150"/>
              <w:rPr>
                <w:rFonts w:ascii="宋体" w:hAnsi="宋体" w:eastAsia="宋体" w:cs="Times New Roman"/>
                <w:sz w:val="18"/>
                <w:szCs w:val="18"/>
              </w:rPr>
            </w:pPr>
            <w:r>
              <w:rPr>
                <w:rFonts w:hint="eastAsia" w:ascii="宋体" w:hAnsi="宋体" w:eastAsia="宋体" w:cs="Times New Roman"/>
                <w:sz w:val="18"/>
                <w:szCs w:val="18"/>
              </w:rPr>
              <w:t>公允价值变动收益（损失以“－”号填列）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left="315" w:leftChars="150"/>
              <w:rPr>
                <w:rFonts w:ascii="宋体" w:hAnsi="宋体" w:eastAsia="宋体" w:cs="宋体"/>
                <w:b/>
                <w:sz w:val="18"/>
                <w:szCs w:val="18"/>
              </w:rPr>
            </w:pPr>
            <w:r>
              <w:rPr>
                <w:rFonts w:hint="eastAsia" w:ascii="宋体" w:hAnsi="宋体" w:eastAsia="宋体" w:cs="Times New Roman"/>
                <w:sz w:val="18"/>
                <w:szCs w:val="18"/>
              </w:rPr>
              <w:t>信用减值损失（损失以“-”号填列）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资产减值损失（损失以“-”号填列）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ind w:left="315" w:leftChars="150"/>
              <w:rPr>
                <w:rFonts w:ascii="宋体" w:hAnsi="宋体" w:eastAsia="宋体" w:cs="宋体"/>
                <w:sz w:val="18"/>
                <w:szCs w:val="18"/>
              </w:rPr>
            </w:pPr>
            <w:r>
              <w:rPr>
                <w:rFonts w:hint="eastAsia" w:ascii="宋体" w:hAnsi="宋体" w:eastAsia="宋体" w:cs="Times New Roman"/>
                <w:sz w:val="18"/>
                <w:szCs w:val="18"/>
              </w:rPr>
              <w:t>资产处置收益（损失以“-”号填列）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二、营业利润（亏损以“－”号填列）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加：营业外收入</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减：营业外支出</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三、利润总额（亏损总额以“－”号填列）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减：所得税费用</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四、净利润（净亏损以“－”号填列）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（一）持续</w:t>
            </w:r>
            <w:r>
              <w:rPr>
                <w:rFonts w:ascii="宋体" w:hAnsi="宋体" w:eastAsia="宋体" w:cs="Times New Roman"/>
                <w:sz w:val="18"/>
                <w:szCs w:val="18"/>
              </w:rPr>
              <w:t>经营净利润</w:t>
            </w:r>
            <w:r>
              <w:rPr>
                <w:rFonts w:hint="eastAsia" w:ascii="宋体" w:hAnsi="宋体" w:eastAsia="宋体" w:cs="Times New Roman"/>
                <w:sz w:val="18"/>
                <w:szCs w:val="18"/>
              </w:rPr>
              <w:t>（净亏损以“－”号填列）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sz w:val="18"/>
                <w:szCs w:val="18"/>
              </w:rPr>
              <w:t>（二）终止经营</w:t>
            </w:r>
            <w:r>
              <w:rPr>
                <w:rFonts w:ascii="宋体" w:hAnsi="宋体" w:eastAsia="宋体" w:cs="Times New Roman"/>
                <w:sz w:val="18"/>
                <w:szCs w:val="18"/>
              </w:rPr>
              <w:t>净利润</w:t>
            </w:r>
            <w:r>
              <w:rPr>
                <w:rFonts w:hint="eastAsia" w:ascii="宋体" w:hAnsi="宋体" w:eastAsia="宋体" w:cs="Times New Roman"/>
                <w:sz w:val="18"/>
                <w:szCs w:val="18"/>
              </w:rPr>
              <w:t>（净亏损以“－”号填列）</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b/>
                <w:sz w:val="18"/>
                <w:szCs w:val="18"/>
              </w:rPr>
            </w:pPr>
            <w:r>
              <w:rPr>
                <w:rFonts w:ascii="宋体" w:hAnsi="宋体" w:eastAsia="宋体" w:cs="Times New Roman"/>
                <w:b/>
                <w:sz w:val="18"/>
                <w:szCs w:val="18"/>
              </w:rPr>
              <w:t>五</w:t>
            </w:r>
            <w:r>
              <w:rPr>
                <w:rFonts w:hint="eastAsia" w:ascii="宋体" w:hAnsi="宋体" w:eastAsia="宋体" w:cs="Times New Roman"/>
                <w:b/>
                <w:sz w:val="18"/>
                <w:szCs w:val="18"/>
              </w:rPr>
              <w:t>、其他综合收益的税后净额</w:t>
            </w:r>
            <w:r>
              <w:rPr>
                <w:rFonts w:ascii="宋体" w:hAnsi="宋体" w:eastAsia="宋体" w:cs="Times New Roman"/>
                <w:b/>
                <w:sz w:val="18"/>
                <w:szCs w:val="18"/>
              </w:rPr>
              <w:t xml:space="preserve"> </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（一）不能重分类进损益的其他综合收益</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hint="eastAsia" w:ascii="Calibri" w:hAnsi="Calibri" w:eastAsia="宋体" w:cs="Times New Roman"/>
              </w:rPr>
              <w:t xml:space="preserve"> </w:t>
            </w:r>
            <w:r>
              <w:rPr>
                <w:rFonts w:hint="eastAsia" w:ascii="宋体" w:hAnsi="宋体" w:eastAsia="宋体" w:cs="Times New Roman"/>
                <w:sz w:val="18"/>
                <w:szCs w:val="18"/>
              </w:rPr>
              <w:t>重新计量设定受益计划变动额</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w:t>
            </w:r>
            <w:r>
              <w:rPr>
                <w:rFonts w:hint="eastAsia" w:ascii="Calibri" w:hAnsi="Calibri" w:eastAsia="宋体" w:cs="Times New Roman"/>
                <w:sz w:val="18"/>
                <w:szCs w:val="18"/>
              </w:rPr>
              <w:t xml:space="preserve"> </w:t>
            </w:r>
            <w:r>
              <w:rPr>
                <w:rFonts w:hint="eastAsia" w:ascii="宋体" w:hAnsi="宋体" w:eastAsia="宋体" w:cs="Times New Roman"/>
                <w:sz w:val="18"/>
                <w:szCs w:val="18"/>
              </w:rPr>
              <w:t>权益法下不能转损益的其他综合收益</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3．其他权益工具投资公允价值变动</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tcPr>
          <w:p>
            <w:pPr>
              <w:rPr>
                <w:rFonts w:ascii="宋体" w:hAnsi="宋体" w:eastAsia="宋体" w:cs="Times New Roman"/>
                <w:sz w:val="18"/>
                <w:szCs w:val="18"/>
              </w:rPr>
            </w:pPr>
            <w:r>
              <w:rPr>
                <w:rFonts w:hint="eastAsia" w:ascii="Calibri" w:hAnsi="Calibri" w:eastAsia="宋体" w:cs="Times New Roman"/>
                <w:sz w:val="18"/>
                <w:szCs w:val="18"/>
              </w:rPr>
              <w:t>4．企业自身信用风险公允价值变动</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tcPr>
          <w:p>
            <w:pPr>
              <w:rPr>
                <w:rFonts w:ascii="Calibri" w:hAnsi="Calibri" w:eastAsia="宋体" w:cs="Times New Roman"/>
                <w:sz w:val="18"/>
                <w:szCs w:val="18"/>
              </w:rPr>
            </w:pPr>
            <w:r>
              <w:rPr>
                <w:rFonts w:ascii="宋体" w:hAnsi="宋体" w:eastAsia="宋体" w:cs="Times New Roman"/>
                <w:color w:val="000000"/>
                <w:sz w:val="18"/>
                <w:szCs w:val="18"/>
              </w:rPr>
              <w:t>5</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（二）将重分类进损益的其他综合收益</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1.</w:t>
            </w:r>
            <w:r>
              <w:rPr>
                <w:rFonts w:ascii="Calibri" w:hAnsi="Calibri" w:eastAsia="宋体" w:cs="Times New Roman"/>
                <w:sz w:val="18"/>
                <w:szCs w:val="18"/>
              </w:rPr>
              <w:t xml:space="preserve"> </w:t>
            </w:r>
            <w:r>
              <w:rPr>
                <w:rFonts w:hint="eastAsia" w:ascii="宋体" w:hAnsi="宋体" w:eastAsia="宋体" w:cs="Times New Roman"/>
                <w:sz w:val="18"/>
                <w:szCs w:val="18"/>
              </w:rPr>
              <w:t>权益法下可转损益的其他综合收益</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2. 其他债权投资公允价值变动</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3</w:t>
            </w:r>
            <w:r>
              <w:rPr>
                <w:rFonts w:hint="eastAsia" w:ascii="宋体" w:hAnsi="宋体" w:eastAsia="宋体" w:cs="Times New Roman"/>
                <w:sz w:val="18"/>
                <w:szCs w:val="18"/>
              </w:rPr>
              <w:t>. 金融资产重分类计入其他综合收益的金额</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4</w:t>
            </w:r>
            <w:r>
              <w:rPr>
                <w:rFonts w:hint="eastAsia" w:ascii="宋体" w:hAnsi="宋体" w:eastAsia="宋体" w:cs="Times New Roman"/>
                <w:sz w:val="18"/>
                <w:szCs w:val="18"/>
              </w:rPr>
              <w:t>. 其他债权投资信用减值准备</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ascii="宋体" w:hAnsi="宋体" w:eastAsia="宋体" w:cs="Times New Roman"/>
                <w:sz w:val="18"/>
                <w:szCs w:val="18"/>
              </w:rPr>
              <w:t>5</w:t>
            </w:r>
            <w:r>
              <w:rPr>
                <w:rFonts w:hint="eastAsia" w:ascii="宋体" w:hAnsi="宋体" w:eastAsia="宋体" w:cs="Times New Roman"/>
                <w:sz w:val="18"/>
                <w:szCs w:val="18"/>
              </w:rPr>
              <w:t>.</w:t>
            </w:r>
            <w:r>
              <w:rPr>
                <w:rFonts w:ascii="宋体" w:hAnsi="宋体" w:eastAsia="宋体" w:cs="Times New Roman"/>
                <w:sz w:val="18"/>
                <w:szCs w:val="18"/>
              </w:rPr>
              <w:t xml:space="preserve"> </w:t>
            </w:r>
            <w:r>
              <w:rPr>
                <w:rFonts w:hint="eastAsia" w:ascii="宋体" w:hAnsi="宋体" w:eastAsia="宋体" w:cs="Times New Roman"/>
                <w:sz w:val="18"/>
                <w:szCs w:val="18"/>
              </w:rPr>
              <w:t>现金流量套期储备</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6</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外币财务报表折算差额</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color w:val="000000"/>
                <w:sz w:val="18"/>
                <w:szCs w:val="18"/>
              </w:rPr>
            </w:pPr>
            <w:r>
              <w:rPr>
                <w:rFonts w:ascii="宋体" w:hAnsi="宋体" w:eastAsia="宋体" w:cs="Times New Roman"/>
                <w:color w:val="000000"/>
                <w:sz w:val="18"/>
                <w:szCs w:val="18"/>
              </w:rPr>
              <w:t>7</w:t>
            </w:r>
            <w:r>
              <w:rPr>
                <w:rFonts w:hint="eastAsia" w:ascii="宋体" w:hAnsi="宋体" w:eastAsia="宋体" w:cs="Times New Roman"/>
                <w:color w:val="000000"/>
                <w:sz w:val="18"/>
                <w:szCs w:val="18"/>
              </w:rPr>
              <w:t>.</w:t>
            </w:r>
            <w:r>
              <w:rPr>
                <w:rFonts w:ascii="宋体" w:hAnsi="宋体" w:eastAsia="宋体" w:cs="Times New Roman"/>
                <w:color w:val="000000"/>
                <w:sz w:val="18"/>
                <w:szCs w:val="18"/>
              </w:rPr>
              <w:t xml:space="preserve"> </w:t>
            </w:r>
            <w:r>
              <w:rPr>
                <w:rFonts w:hint="eastAsia" w:ascii="宋体" w:hAnsi="宋体" w:eastAsia="宋体" w:cs="Times New Roman"/>
                <w:color w:val="000000"/>
                <w:sz w:val="18"/>
                <w:szCs w:val="18"/>
              </w:rPr>
              <w:t>其他</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1901" w:type="pct"/>
            <w:shd w:val="pct10" w:color="auto" w:fill="FFFFFF"/>
            <w:vAlign w:val="center"/>
          </w:tcPr>
          <w:p>
            <w:pPr>
              <w:rPr>
                <w:rFonts w:ascii="宋体" w:hAnsi="宋体" w:eastAsia="宋体" w:cs="Times New Roman"/>
                <w:b/>
                <w:sz w:val="18"/>
                <w:szCs w:val="18"/>
              </w:rPr>
            </w:pPr>
            <w:r>
              <w:rPr>
                <w:rFonts w:hint="eastAsia" w:ascii="宋体" w:hAnsi="宋体" w:eastAsia="宋体" w:cs="Times New Roman"/>
                <w:b/>
                <w:sz w:val="18"/>
                <w:szCs w:val="18"/>
              </w:rPr>
              <w:t>六、综合收益总额</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b/>
                <w:sz w:val="18"/>
                <w:szCs w:val="18"/>
              </w:rPr>
              <w:t>七、每股收益：</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（一）基本每股收益（元/股）</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1901"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（二）稀释每股收益（元/股）</w:t>
            </w:r>
          </w:p>
        </w:tc>
        <w:tc>
          <w:tcPr>
            <w:tcW w:w="804" w:type="pct"/>
            <w:shd w:val="clear" w:color="auto" w:fill="auto"/>
          </w:tcPr>
          <w:p>
            <w:pPr>
              <w:rPr>
                <w:rFonts w:ascii="宋体" w:hAnsi="宋体" w:eastAsia="宋体" w:cs="Times New Roman"/>
                <w:sz w:val="18"/>
                <w:szCs w:val="18"/>
              </w:rPr>
            </w:pPr>
          </w:p>
        </w:tc>
        <w:tc>
          <w:tcPr>
            <w:tcW w:w="731" w:type="pct"/>
          </w:tcPr>
          <w:p>
            <w:pPr>
              <w:rPr>
                <w:rFonts w:ascii="宋体" w:hAnsi="宋体" w:eastAsia="宋体" w:cs="Times New Roman"/>
                <w:sz w:val="18"/>
                <w:szCs w:val="18"/>
              </w:rPr>
            </w:pPr>
          </w:p>
        </w:tc>
        <w:tc>
          <w:tcPr>
            <w:tcW w:w="756" w:type="pct"/>
          </w:tcPr>
          <w:p>
            <w:pPr>
              <w:rPr>
                <w:rFonts w:ascii="宋体" w:hAnsi="宋体" w:eastAsia="宋体" w:cs="Times New Roman"/>
                <w:sz w:val="18"/>
                <w:szCs w:val="18"/>
              </w:rPr>
            </w:pPr>
          </w:p>
        </w:tc>
        <w:tc>
          <w:tcPr>
            <w:tcW w:w="808" w:type="pct"/>
          </w:tcPr>
          <w:p>
            <w:pPr>
              <w:rPr>
                <w:rFonts w:ascii="宋体" w:hAnsi="宋体" w:eastAsia="宋体" w:cs="Times New Roman"/>
                <w:sz w:val="18"/>
                <w:szCs w:val="18"/>
              </w:rPr>
            </w:pPr>
          </w:p>
        </w:tc>
      </w:tr>
    </w:tbl>
    <w:p>
      <w:pPr>
        <w:pStyle w:val="64"/>
        <w:widowControl/>
        <w:numPr>
          <w:ilvl w:val="0"/>
          <w:numId w:val="3"/>
        </w:numPr>
        <w:ind w:left="360" w:right="272" w:firstLineChars="0"/>
        <w:jc w:val="left"/>
        <w:outlineLvl w:val="2"/>
        <w:rPr>
          <w:rFonts w:ascii="宋体" w:hAnsi="宋体" w:eastAsia="黑体"/>
          <w:color w:val="000000"/>
          <w:sz w:val="22"/>
          <w:szCs w:val="18"/>
        </w:rPr>
      </w:pPr>
      <w:r>
        <w:rPr>
          <w:rFonts w:hint="eastAsia" w:ascii="宋体" w:hAnsi="宋体" w:eastAsia="黑体"/>
          <w:b/>
          <w:bCs/>
          <w:color w:val="000000"/>
          <w:sz w:val="22"/>
          <w:szCs w:val="18"/>
        </w:rPr>
        <w:t>合并现金流量表</w:t>
      </w:r>
    </w:p>
    <w:p>
      <w:pPr>
        <w:ind w:left="714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p>
    <w:tbl>
      <w:tblPr>
        <w:tblStyle w:val="46"/>
        <w:tblW w:w="5838" w:type="pct"/>
        <w:tblInd w:w="-572"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646"/>
        <w:gridCol w:w="2628"/>
        <w:gridCol w:w="2628"/>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tcBorders>
              <w:bottom w:val="single" w:color="5B9BD5" w:sz="4" w:space="0"/>
            </w:tcBorders>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项目</w:t>
            </w:r>
          </w:p>
        </w:tc>
        <w:tc>
          <w:tcPr>
            <w:tcW w:w="1327"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2022年1-9月</w:t>
            </w:r>
          </w:p>
        </w:tc>
        <w:tc>
          <w:tcPr>
            <w:tcW w:w="1327" w:type="pct"/>
            <w:shd w:val="pct10" w:color="auto" w:fill="FFFFFF"/>
            <w:vAlign w:val="center"/>
          </w:tcPr>
          <w:p>
            <w:pPr>
              <w:jc w:val="center"/>
              <w:rPr>
                <w:rFonts w:ascii="宋体" w:hAnsi="宋体" w:eastAsia="宋体" w:cs="宋体"/>
                <w:b/>
                <w:sz w:val="18"/>
                <w:szCs w:val="18"/>
              </w:rPr>
            </w:pPr>
            <w:r>
              <w:rPr>
                <w:rFonts w:ascii="宋体" w:hAnsi="宋体" w:eastAsia="宋体" w:cs="Times New Roman"/>
                <w:b/>
                <w:sz w:val="18"/>
                <w:szCs w:val="18"/>
              </w:rPr>
              <w:t>2021</w:t>
            </w:r>
            <w:r>
              <w:rPr>
                <w:rFonts w:hint="eastAsia" w:ascii="宋体" w:hAnsi="宋体" w:eastAsia="宋体" w:cs="Times New Roman"/>
                <w:b/>
                <w:sz w:val="18"/>
                <w:szCs w:val="18"/>
              </w:rPr>
              <w:t>年</w:t>
            </w:r>
            <w:r>
              <w:rPr>
                <w:rFonts w:ascii="宋体" w:hAnsi="宋体" w:eastAsia="宋体" w:cs="Times New Roman"/>
                <w:b/>
                <w:sz w:val="18"/>
                <w:szCs w:val="18"/>
              </w:rPr>
              <w:t>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rPr>
          <w:trHeight w:val="354" w:hRule="atLeast"/>
        </w:trPr>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一、经营活动产生的现金流量：</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销售商品、提供劳务收到的现金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客户存款和同业存放款项净增加额 </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向中央银行借款净增加额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向其他金融机构拆入资金净增加额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收到原保险合同保费取得的现金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收到再保险业务现金净额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保户储金及投资款净增加额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收取利息、手续费及佣金的现金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拆入资金净增加额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回购业务资金净增加额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代理买卖证券收到的现金净额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收到的税费返还</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收到其他与经营活动有关的现金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经营活动现金流入小计</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购买商品、接受劳务支付的现金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客户贷款及垫款净增加额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 xml:space="preserve">存放中央银行和同业款项净增加额 </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支付原保险合同赔付款项的现金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为</w:t>
            </w:r>
            <w:r>
              <w:rPr>
                <w:rFonts w:ascii="宋体" w:hAnsi="宋体" w:eastAsia="宋体" w:cs="Times New Roman"/>
                <w:sz w:val="18"/>
                <w:szCs w:val="18"/>
              </w:rPr>
              <w:t>交易目的而持有的金融资产净增加额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拆出资金</w:t>
            </w:r>
            <w:r>
              <w:rPr>
                <w:rFonts w:ascii="宋体" w:hAnsi="宋体" w:eastAsia="宋体" w:cs="Times New Roman"/>
                <w:sz w:val="18"/>
                <w:szCs w:val="18"/>
              </w:rPr>
              <w:t>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支付利息、手续费及佣金的现金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支付保单红利的现金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支付给职工以及为职工支付的现金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支付的各项税费</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支付其他与经营活动有关的现金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经营活动现金流出小计</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经营活动产生的现金流量净额</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Times New Roman"/>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二、投资活动产生的现金流量：</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收回投资收到的现金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取得投资收益收到的现金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处置固定资产、无形资产和其他长期资产收回的现金净额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处置子公司及其他营业单位收到的现金净额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收到其他与投资活动有关的现金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投资活动现金流入小计</w:t>
            </w:r>
          </w:p>
        </w:tc>
        <w:tc>
          <w:tcPr>
            <w:tcW w:w="1327" w:type="pct"/>
            <w:shd w:val="pct10" w:color="auto" w:fill="auto"/>
          </w:tcPr>
          <w:p>
            <w:pPr>
              <w:jc w:val="right"/>
              <w:rPr>
                <w:rFonts w:ascii="宋体" w:hAnsi="宋体" w:eastAsia="宋体" w:cs="宋体"/>
                <w:kern w:val="0"/>
                <w:sz w:val="18"/>
                <w:szCs w:val="18"/>
              </w:rPr>
            </w:pPr>
          </w:p>
        </w:tc>
        <w:tc>
          <w:tcPr>
            <w:tcW w:w="1327"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购建固定资产、无形资产和其他长期资产支付的现金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投资支付的现金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质押贷款净增加额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取得子公司及其他营业单位支付的现金净额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支付其他与投资活动有关的现金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投资活动现金流出小计</w:t>
            </w:r>
          </w:p>
        </w:tc>
        <w:tc>
          <w:tcPr>
            <w:tcW w:w="1327" w:type="pct"/>
            <w:shd w:val="pct10" w:color="auto" w:fill="FFFFFF"/>
          </w:tcPr>
          <w:p>
            <w:pPr>
              <w:jc w:val="right"/>
              <w:rPr>
                <w:rFonts w:ascii="宋体" w:hAnsi="宋体" w:eastAsia="宋体" w:cs="宋体"/>
                <w:b/>
                <w:kern w:val="0"/>
                <w:sz w:val="18"/>
                <w:szCs w:val="18"/>
              </w:rPr>
            </w:pPr>
          </w:p>
        </w:tc>
        <w:tc>
          <w:tcPr>
            <w:tcW w:w="1327"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投资活动产生的现金流量净额</w:t>
            </w:r>
          </w:p>
        </w:tc>
        <w:tc>
          <w:tcPr>
            <w:tcW w:w="1327" w:type="pct"/>
            <w:shd w:val="pct10" w:color="auto" w:fill="FFFFFF"/>
          </w:tcPr>
          <w:p>
            <w:pPr>
              <w:jc w:val="right"/>
              <w:rPr>
                <w:rFonts w:ascii="宋体" w:hAnsi="宋体" w:eastAsia="宋体" w:cs="宋体"/>
                <w:b/>
                <w:kern w:val="0"/>
                <w:sz w:val="18"/>
                <w:szCs w:val="18"/>
              </w:rPr>
            </w:pPr>
          </w:p>
        </w:tc>
        <w:tc>
          <w:tcPr>
            <w:tcW w:w="1327" w:type="pct"/>
            <w:shd w:val="pct10" w:color="auto" w:fill="FFFFFF"/>
          </w:tcPr>
          <w:p>
            <w:pPr>
              <w:jc w:val="right"/>
              <w:rPr>
                <w:rFonts w:ascii="宋体" w:hAnsi="宋体" w:eastAsia="宋体" w:cs="宋体"/>
                <w:b/>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三、筹资活动产生的现金流量：</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吸收投资收到的现金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其中：子公司吸收少数股东投资收到的现金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取得借款收到的现金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Times New Roman"/>
                <w:sz w:val="18"/>
                <w:szCs w:val="18"/>
              </w:rPr>
            </w:pPr>
            <w:r>
              <w:rPr>
                <w:rFonts w:hint="eastAsia" w:ascii="宋体" w:hAnsi="宋体" w:eastAsia="宋体" w:cs="Times New Roman"/>
                <w:sz w:val="18"/>
                <w:szCs w:val="18"/>
              </w:rPr>
              <w:t>发行</w:t>
            </w:r>
            <w:r>
              <w:rPr>
                <w:rFonts w:ascii="宋体" w:hAnsi="宋体" w:eastAsia="宋体" w:cs="Times New Roman"/>
                <w:sz w:val="18"/>
                <w:szCs w:val="18"/>
              </w:rPr>
              <w:t>债券收到的现金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收到其他与筹资活动有关的现金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筹资活动现金流入小计</w:t>
            </w:r>
          </w:p>
        </w:tc>
        <w:tc>
          <w:tcPr>
            <w:tcW w:w="1327" w:type="pct"/>
            <w:shd w:val="pct10" w:color="auto" w:fill="auto"/>
          </w:tcPr>
          <w:p>
            <w:pPr>
              <w:jc w:val="right"/>
              <w:rPr>
                <w:rFonts w:ascii="宋体" w:hAnsi="宋体" w:eastAsia="宋体" w:cs="宋体"/>
                <w:kern w:val="0"/>
                <w:sz w:val="18"/>
                <w:szCs w:val="18"/>
              </w:rPr>
            </w:pPr>
          </w:p>
        </w:tc>
        <w:tc>
          <w:tcPr>
            <w:tcW w:w="1327" w:type="pct"/>
            <w:shd w:val="pct10"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偿还债务支付的现金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分配股利、利润或偿付利息支付的现金</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其中：子公司支付给少数股东的股利、利润</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支付其他与筹资活动有关的现金</w:t>
            </w: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c>
          <w:tcPr>
            <w:tcW w:w="1327" w:type="pct"/>
            <w:tcBorders>
              <w:bottom w:val="single" w:color="5B9BD5" w:sz="4" w:space="0"/>
            </w:tcBorders>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筹资活动现金流出小计</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jc w:val="center"/>
              <w:rPr>
                <w:rFonts w:ascii="宋体" w:hAnsi="宋体" w:eastAsia="宋体" w:cs="宋体"/>
                <w:b/>
                <w:sz w:val="18"/>
                <w:szCs w:val="18"/>
              </w:rPr>
            </w:pPr>
            <w:r>
              <w:rPr>
                <w:rFonts w:hint="eastAsia" w:ascii="宋体" w:hAnsi="宋体" w:eastAsia="宋体" w:cs="Times New Roman"/>
                <w:b/>
                <w:sz w:val="18"/>
                <w:szCs w:val="18"/>
              </w:rPr>
              <w:t>筹资活动产生的现金流量净额</w:t>
            </w:r>
          </w:p>
        </w:tc>
        <w:tc>
          <w:tcPr>
            <w:tcW w:w="1327" w:type="pct"/>
            <w:shd w:val="pct10" w:color="auto" w:fill="FFFFFF"/>
          </w:tcPr>
          <w:p>
            <w:pPr>
              <w:jc w:val="right"/>
              <w:rPr>
                <w:rFonts w:ascii="宋体" w:hAnsi="宋体" w:eastAsia="宋体" w:cs="宋体"/>
                <w:kern w:val="0"/>
                <w:sz w:val="18"/>
                <w:szCs w:val="18"/>
              </w:rPr>
            </w:pPr>
          </w:p>
        </w:tc>
        <w:tc>
          <w:tcPr>
            <w:tcW w:w="1327" w:type="pct"/>
            <w:shd w:val="pct10" w:color="auto" w:fill="FFFFFF"/>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四、汇率变动对现金及现金等价物的影响</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五、现金及现金等价物净增加额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sz w:val="18"/>
                <w:szCs w:val="18"/>
              </w:rPr>
            </w:pPr>
            <w:r>
              <w:rPr>
                <w:rFonts w:hint="eastAsia" w:ascii="宋体" w:hAnsi="宋体" w:eastAsia="宋体" w:cs="Times New Roman"/>
                <w:sz w:val="18"/>
                <w:szCs w:val="18"/>
              </w:rPr>
              <w:t>加：期初现金及现金等价物余额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346" w:type="pct"/>
            <w:shd w:val="pct10" w:color="auto" w:fill="FFFFFF"/>
            <w:vAlign w:val="center"/>
          </w:tcPr>
          <w:p>
            <w:pPr>
              <w:rPr>
                <w:rFonts w:ascii="宋体" w:hAnsi="宋体" w:eastAsia="宋体" w:cs="宋体"/>
                <w:b/>
                <w:sz w:val="18"/>
                <w:szCs w:val="18"/>
              </w:rPr>
            </w:pPr>
            <w:r>
              <w:rPr>
                <w:rFonts w:hint="eastAsia" w:ascii="宋体" w:hAnsi="宋体" w:eastAsia="宋体" w:cs="Times New Roman"/>
                <w:b/>
                <w:sz w:val="18"/>
                <w:szCs w:val="18"/>
              </w:rPr>
              <w:t>六、期末现金及现金等价物余额</w:t>
            </w:r>
          </w:p>
        </w:tc>
        <w:tc>
          <w:tcPr>
            <w:tcW w:w="1327" w:type="pct"/>
            <w:shd w:val="clear" w:color="auto" w:fill="auto"/>
          </w:tcPr>
          <w:p>
            <w:pPr>
              <w:jc w:val="right"/>
              <w:rPr>
                <w:rFonts w:ascii="宋体" w:hAnsi="宋体" w:eastAsia="宋体" w:cs="宋体"/>
                <w:kern w:val="0"/>
                <w:sz w:val="18"/>
                <w:szCs w:val="18"/>
              </w:rPr>
            </w:pPr>
          </w:p>
        </w:tc>
        <w:tc>
          <w:tcPr>
            <w:tcW w:w="1327" w:type="pct"/>
            <w:shd w:val="clear" w:color="auto" w:fill="auto"/>
          </w:tcPr>
          <w:p>
            <w:pPr>
              <w:jc w:val="right"/>
              <w:rPr>
                <w:rFonts w:ascii="宋体" w:hAnsi="宋体" w:eastAsia="宋体" w:cs="宋体"/>
                <w:kern w:val="0"/>
                <w:sz w:val="18"/>
                <w:szCs w:val="18"/>
              </w:rPr>
            </w:pPr>
          </w:p>
        </w:tc>
      </w:tr>
    </w:tbl>
    <w:p>
      <w:pPr>
        <w:widowControl/>
        <w:ind w:right="-382"/>
        <w:jc w:val="left"/>
        <w:rPr>
          <w:rFonts w:ascii="宋体" w:hAnsi="宋体" w:eastAsia="宋体" w:cs="Times New Roman"/>
          <w:bCs/>
          <w:sz w:val="18"/>
          <w:szCs w:val="18"/>
        </w:rPr>
      </w:pPr>
      <w:r>
        <w:rPr>
          <w:rFonts w:ascii="Calibri" w:hAnsi="Calibri" w:eastAsia="宋体" w:cs="Times New Roman"/>
          <w:sz w:val="18"/>
          <w:szCs w:val="18"/>
        </w:rPr>
        <w:t>法定代表人：_____________ 主管会计工作负责人：_____________ 会计机构负责人</w:t>
      </w:r>
      <w:r>
        <w:rPr>
          <w:rFonts w:hint="eastAsia" w:ascii="Calibri" w:hAnsi="Calibri" w:eastAsia="宋体" w:cs="Times New Roman"/>
          <w:sz w:val="18"/>
          <w:szCs w:val="18"/>
        </w:rPr>
        <w:t>：</w:t>
      </w:r>
      <w:r>
        <w:rPr>
          <w:rFonts w:ascii="Calibri" w:hAnsi="Calibri" w:eastAsia="宋体" w:cs="Times New Roman"/>
          <w:sz w:val="18"/>
          <w:szCs w:val="18"/>
        </w:rPr>
        <w:t>_____________</w:t>
      </w:r>
    </w:p>
    <w:p>
      <w:pPr>
        <w:widowControl/>
        <w:ind w:right="270"/>
        <w:jc w:val="left"/>
        <w:rPr>
          <w:rFonts w:ascii="宋体" w:hAnsi="宋体" w:eastAsia="宋体" w:cs="Times New Roman"/>
          <w:b/>
          <w:bCs/>
          <w:szCs w:val="18"/>
        </w:rPr>
      </w:pPr>
    </w:p>
    <w:p>
      <w:pPr>
        <w:pStyle w:val="64"/>
        <w:widowControl/>
        <w:numPr>
          <w:ilvl w:val="0"/>
          <w:numId w:val="3"/>
        </w:numPr>
        <w:ind w:left="360" w:right="272" w:firstLineChars="0"/>
        <w:jc w:val="left"/>
        <w:outlineLvl w:val="2"/>
        <w:rPr>
          <w:rFonts w:ascii="宋体" w:hAnsi="宋体" w:eastAsia="黑体"/>
          <w:color w:val="000000"/>
          <w:sz w:val="22"/>
          <w:szCs w:val="18"/>
        </w:rPr>
      </w:pPr>
      <w:r>
        <w:rPr>
          <w:rFonts w:hint="eastAsia" w:ascii="宋体" w:hAnsi="宋体" w:eastAsia="黑体"/>
          <w:b/>
          <w:bCs/>
          <w:color w:val="000000"/>
          <w:sz w:val="22"/>
          <w:szCs w:val="18"/>
        </w:rPr>
        <w:t>母公司现金流量表</w:t>
      </w:r>
    </w:p>
    <w:p>
      <w:pPr>
        <w:ind w:left="6720" w:firstLine="420"/>
        <w:jc w:val="right"/>
        <w:rPr>
          <w:rFonts w:ascii="Calibri" w:hAnsi="Calibri" w:eastAsia="宋体" w:cs="Times New Roman"/>
        </w:rPr>
      </w:pPr>
      <w:r>
        <w:rPr>
          <w:rFonts w:hint="eastAsia" w:ascii="Calibri" w:hAnsi="Calibri" w:eastAsia="宋体" w:cs="Times New Roman"/>
        </w:rPr>
        <w:t>单位</w:t>
      </w:r>
      <w:r>
        <w:rPr>
          <w:rFonts w:ascii="Calibri" w:hAnsi="Calibri" w:eastAsia="宋体" w:cs="Times New Roman"/>
        </w:rPr>
        <w:t>：元</w:t>
      </w:r>
      <w:r>
        <w:rPr>
          <w:rFonts w:hint="eastAsia" w:ascii="Calibri" w:hAnsi="Calibri" w:eastAsia="宋体" w:cs="Times New Roman"/>
        </w:rPr>
        <w:t xml:space="preserve"> </w:t>
      </w:r>
    </w:p>
    <w:tbl>
      <w:tblPr>
        <w:tblStyle w:val="46"/>
        <w:tblW w:w="9640" w:type="dxa"/>
        <w:tblInd w:w="-573" w:type="dxa"/>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Layout w:type="autofit"/>
        <w:tblCellMar>
          <w:top w:w="0" w:type="dxa"/>
          <w:left w:w="108" w:type="dxa"/>
          <w:bottom w:w="0" w:type="dxa"/>
          <w:right w:w="108" w:type="dxa"/>
        </w:tblCellMar>
      </w:tblPr>
      <w:tblGrid>
        <w:gridCol w:w="4388"/>
        <w:gridCol w:w="2626"/>
        <w:gridCol w:w="2626"/>
      </w:tblGrid>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tcBorders>
              <w:bottom w:val="single" w:color="5B9BD5" w:sz="4" w:space="0"/>
            </w:tcBorders>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项目</w:t>
            </w:r>
          </w:p>
        </w:tc>
        <w:tc>
          <w:tcPr>
            <w:tcW w:w="1362" w:type="pct"/>
            <w:shd w:val="pct10" w:color="auto" w:fill="FFFFFF"/>
            <w:vAlign w:val="center"/>
          </w:tcPr>
          <w:p>
            <w:pPr>
              <w:jc w:val="center"/>
              <w:rPr>
                <w:rFonts w:ascii="宋体" w:hAnsi="宋体" w:eastAsia="宋体" w:cs="Times New Roman"/>
                <w:b/>
                <w:sz w:val="18"/>
                <w:szCs w:val="21"/>
              </w:rPr>
            </w:pPr>
            <w:r>
              <w:rPr>
                <w:rFonts w:hint="eastAsia" w:ascii="宋体" w:hAnsi="宋体" w:eastAsia="宋体" w:cs="Times New Roman"/>
                <w:b/>
                <w:sz w:val="18"/>
                <w:szCs w:val="18"/>
              </w:rPr>
              <w:t>2022年1-9月</w:t>
            </w:r>
          </w:p>
        </w:tc>
        <w:tc>
          <w:tcPr>
            <w:tcW w:w="1362" w:type="pct"/>
            <w:shd w:val="pct10" w:color="auto" w:fill="FFFFFF"/>
            <w:vAlign w:val="center"/>
          </w:tcPr>
          <w:p>
            <w:pPr>
              <w:jc w:val="center"/>
              <w:rPr>
                <w:rFonts w:ascii="宋体" w:hAnsi="宋体" w:eastAsia="宋体" w:cs="宋体"/>
                <w:b/>
                <w:sz w:val="18"/>
                <w:szCs w:val="21"/>
              </w:rPr>
            </w:pPr>
            <w:r>
              <w:rPr>
                <w:rFonts w:ascii="宋体" w:hAnsi="宋体" w:eastAsia="宋体" w:cs="Times New Roman"/>
                <w:b/>
                <w:sz w:val="18"/>
                <w:szCs w:val="18"/>
              </w:rPr>
              <w:t>2021</w:t>
            </w:r>
            <w:r>
              <w:rPr>
                <w:rFonts w:hint="eastAsia" w:ascii="宋体" w:hAnsi="宋体" w:eastAsia="宋体" w:cs="Times New Roman"/>
                <w:b/>
                <w:sz w:val="18"/>
                <w:szCs w:val="18"/>
              </w:rPr>
              <w:t>年</w:t>
            </w:r>
            <w:r>
              <w:rPr>
                <w:rFonts w:ascii="宋体" w:hAnsi="宋体" w:eastAsia="宋体" w:cs="Times New Roman"/>
                <w:b/>
                <w:sz w:val="18"/>
                <w:szCs w:val="18"/>
              </w:rPr>
              <w:t>1-9月</w:t>
            </w: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一、经营活动产生的现金流量：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销售商品、提供劳务收到的现金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收到的税费返还</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tcBorders>
              <w:bottom w:val="single" w:color="5B9BD5" w:sz="4" w:space="0"/>
            </w:tcBorders>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18"/>
              </w:rPr>
              <w:t>收到其他与经营活动有关的现金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18"/>
              </w:rPr>
              <w:t>经营活动现金流入小计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购买商品、接受劳务支付的现金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支付给职工以及为职工支付的现金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支付的各项税费</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支付其他与经营活动有关的现金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经营活动现金流出小计</w:t>
            </w:r>
          </w:p>
        </w:tc>
        <w:tc>
          <w:tcPr>
            <w:tcW w:w="1362" w:type="pct"/>
            <w:shd w:val="pct10" w:color="auto" w:fill="FFFFFF"/>
          </w:tcPr>
          <w:p>
            <w:pPr>
              <w:widowControl/>
              <w:jc w:val="center"/>
              <w:rPr>
                <w:rFonts w:ascii="宋体" w:hAnsi="宋体" w:eastAsia="宋体" w:cs="宋体"/>
                <w:b/>
                <w:kern w:val="0"/>
                <w:sz w:val="18"/>
                <w:szCs w:val="21"/>
              </w:rPr>
            </w:pPr>
          </w:p>
        </w:tc>
        <w:tc>
          <w:tcPr>
            <w:tcW w:w="1362"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经营活动产生的现金流量净额</w:t>
            </w:r>
          </w:p>
        </w:tc>
        <w:tc>
          <w:tcPr>
            <w:tcW w:w="1362" w:type="pct"/>
            <w:shd w:val="pct10" w:color="auto" w:fill="FFFFFF"/>
          </w:tcPr>
          <w:p>
            <w:pPr>
              <w:widowControl/>
              <w:jc w:val="center"/>
              <w:rPr>
                <w:rFonts w:ascii="宋体" w:hAnsi="宋体" w:eastAsia="宋体" w:cs="宋体"/>
                <w:b/>
                <w:kern w:val="0"/>
                <w:sz w:val="18"/>
                <w:szCs w:val="21"/>
              </w:rPr>
            </w:pPr>
          </w:p>
        </w:tc>
        <w:tc>
          <w:tcPr>
            <w:tcW w:w="1362" w:type="pct"/>
            <w:shd w:val="pct10" w:color="auto" w:fill="FFFFFF"/>
          </w:tcPr>
          <w:p>
            <w:pPr>
              <w:widowControl/>
              <w:jc w:val="center"/>
              <w:rPr>
                <w:rFonts w:ascii="宋体" w:hAnsi="宋体" w:eastAsia="宋体" w:cs="宋体"/>
                <w:b/>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二、投资活动产生的现金流量：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收回投资收到的现金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取得投资收益收到的现金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处置固定资产、无形资产和其他长期资产收回的现金净额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处置子公司及其他营业单位收到的现金净额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收到其他与投资活动有关的现金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投资活动现金流入小计</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购建固定资产、无形资产和其他长期资产支付的现金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投资支付的现金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取得子公司及其他营业单位支付的现金净额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支付其他与投资活动有关的现金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投资活动现金流出小计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投资活动产生的现金流量净额</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三、筹资活动产生的现金流量：</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吸收投资收到的现金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取得借款收到的现金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Times New Roman"/>
                <w:sz w:val="18"/>
                <w:szCs w:val="21"/>
              </w:rPr>
            </w:pPr>
            <w:r>
              <w:rPr>
                <w:rFonts w:hint="eastAsia" w:ascii="宋体" w:hAnsi="宋体" w:eastAsia="宋体" w:cs="Times New Roman"/>
                <w:sz w:val="18"/>
                <w:szCs w:val="18"/>
              </w:rPr>
              <w:t>发行</w:t>
            </w:r>
            <w:r>
              <w:rPr>
                <w:rFonts w:ascii="宋体" w:hAnsi="宋体" w:eastAsia="宋体" w:cs="Times New Roman"/>
                <w:sz w:val="18"/>
                <w:szCs w:val="18"/>
              </w:rPr>
              <w:t>债券收到的现金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收到其他与筹资活动有关的现金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筹资活动现金流入小计</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偿还债务支付的现金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分配股利、利润或偿付利息支付的现金</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支付其他与筹资活动有关的现金</w:t>
            </w: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c>
          <w:tcPr>
            <w:tcW w:w="1362" w:type="pct"/>
            <w:tcBorders>
              <w:bottom w:val="single" w:color="5B9BD5" w:sz="4" w:space="0"/>
            </w:tcBorders>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筹资活动现金流出小计</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jc w:val="center"/>
              <w:rPr>
                <w:rFonts w:ascii="宋体" w:hAnsi="宋体" w:eastAsia="宋体" w:cs="宋体"/>
                <w:b/>
                <w:sz w:val="18"/>
                <w:szCs w:val="21"/>
              </w:rPr>
            </w:pPr>
            <w:r>
              <w:rPr>
                <w:rFonts w:hint="eastAsia" w:ascii="宋体" w:hAnsi="宋体" w:eastAsia="宋体" w:cs="Times New Roman"/>
                <w:b/>
                <w:sz w:val="18"/>
                <w:szCs w:val="21"/>
              </w:rPr>
              <w:t>筹资活动产生的现金流量净额</w:t>
            </w:r>
          </w:p>
        </w:tc>
        <w:tc>
          <w:tcPr>
            <w:tcW w:w="1362" w:type="pct"/>
            <w:shd w:val="pct10" w:color="auto" w:fill="FFFFFF"/>
          </w:tcPr>
          <w:p>
            <w:pPr>
              <w:widowControl/>
              <w:rPr>
                <w:rFonts w:ascii="宋体" w:hAnsi="宋体" w:eastAsia="宋体" w:cs="宋体"/>
                <w:kern w:val="0"/>
                <w:sz w:val="18"/>
                <w:szCs w:val="21"/>
              </w:rPr>
            </w:pPr>
          </w:p>
        </w:tc>
        <w:tc>
          <w:tcPr>
            <w:tcW w:w="1362" w:type="pct"/>
            <w:shd w:val="pct10" w:color="auto" w:fill="FFFFFF"/>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四、汇率变动对现金及现金等价物的影响</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五、现金及现金等价物净增加额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CellMar>
            <w:top w:w="0" w:type="dxa"/>
            <w:left w:w="108" w:type="dxa"/>
            <w:bottom w:w="0" w:type="dxa"/>
            <w:right w:w="108" w:type="dxa"/>
          </w:tblCellMar>
        </w:tblPrEx>
        <w:tc>
          <w:tcPr>
            <w:tcW w:w="2276" w:type="pct"/>
            <w:shd w:val="pct10" w:color="auto" w:fill="FFFFFF"/>
            <w:vAlign w:val="center"/>
          </w:tcPr>
          <w:p>
            <w:pPr>
              <w:rPr>
                <w:rFonts w:ascii="宋体" w:hAnsi="宋体" w:eastAsia="宋体" w:cs="宋体"/>
                <w:sz w:val="18"/>
                <w:szCs w:val="21"/>
              </w:rPr>
            </w:pPr>
            <w:r>
              <w:rPr>
                <w:rFonts w:hint="eastAsia" w:ascii="宋体" w:hAnsi="宋体" w:eastAsia="宋体" w:cs="Times New Roman"/>
                <w:sz w:val="18"/>
                <w:szCs w:val="21"/>
              </w:rPr>
              <w:t>加：期初现金及现金等价物余额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r>
        <w:tblPrEx>
          <w:tblBorders>
            <w:top w:val="single" w:color="5B9BD5" w:sz="4" w:space="0"/>
            <w:left w:val="single" w:color="5B9BD5" w:sz="4" w:space="0"/>
            <w:bottom w:val="single" w:color="5B9BD5" w:sz="4" w:space="0"/>
            <w:right w:val="single" w:color="5B9BD5" w:sz="4" w:space="0"/>
            <w:insideH w:val="single" w:color="5B9BD5" w:sz="4" w:space="0"/>
            <w:insideV w:val="single" w:color="5B9BD5" w:sz="4" w:space="0"/>
          </w:tblBorders>
        </w:tblPrEx>
        <w:tc>
          <w:tcPr>
            <w:tcW w:w="2276" w:type="pct"/>
            <w:shd w:val="pct10" w:color="auto" w:fill="FFFFFF"/>
            <w:vAlign w:val="center"/>
          </w:tcPr>
          <w:p>
            <w:pPr>
              <w:rPr>
                <w:rFonts w:ascii="宋体" w:hAnsi="宋体" w:eastAsia="宋体" w:cs="宋体"/>
                <w:b/>
                <w:sz w:val="18"/>
                <w:szCs w:val="21"/>
              </w:rPr>
            </w:pPr>
            <w:r>
              <w:rPr>
                <w:rFonts w:hint="eastAsia" w:ascii="宋体" w:hAnsi="宋体" w:eastAsia="宋体" w:cs="Times New Roman"/>
                <w:b/>
                <w:sz w:val="18"/>
                <w:szCs w:val="21"/>
              </w:rPr>
              <w:t>六、期末现金及现金等价物余额</w:t>
            </w:r>
          </w:p>
        </w:tc>
        <w:tc>
          <w:tcPr>
            <w:tcW w:w="1362" w:type="pct"/>
            <w:shd w:val="clear" w:color="auto" w:fill="auto"/>
          </w:tcPr>
          <w:p>
            <w:pPr>
              <w:widowControl/>
              <w:rPr>
                <w:rFonts w:ascii="宋体" w:hAnsi="宋体" w:eastAsia="宋体" w:cs="宋体"/>
                <w:kern w:val="0"/>
                <w:sz w:val="18"/>
                <w:szCs w:val="21"/>
              </w:rPr>
            </w:pPr>
          </w:p>
        </w:tc>
        <w:tc>
          <w:tcPr>
            <w:tcW w:w="1362" w:type="pct"/>
            <w:shd w:val="clear" w:color="auto" w:fill="auto"/>
          </w:tcPr>
          <w:p>
            <w:pPr>
              <w:widowControl/>
              <w:rPr>
                <w:rFonts w:ascii="宋体" w:hAnsi="宋体" w:eastAsia="宋体" w:cs="宋体"/>
                <w:kern w:val="0"/>
                <w:sz w:val="18"/>
                <w:szCs w:val="21"/>
              </w:rPr>
            </w:pPr>
          </w:p>
        </w:tc>
      </w:tr>
    </w:tbl>
    <w:p/>
    <w:p/>
    <w:sectPr>
      <w:footerReference r:id="rId5" w:type="default"/>
      <w:footerReference r:id="rId6" w:type="even"/>
      <w:pgSz w:w="11906" w:h="16838"/>
      <w:pgMar w:top="1440" w:right="1841"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方正书宋_GBK">
    <w:panose1 w:val="02000000000000000000"/>
    <w:charset w:val="86"/>
    <w:family w:val="script"/>
    <w:pitch w:val="default"/>
    <w:sig w:usb0="00000001" w:usb1="08000000" w:usb2="00000000" w:usb3="00000000" w:csb0="00040000" w:csb1="00000000"/>
  </w:font>
  <w:font w:name="FangSong">
    <w:altName w:val="方正仿宋_GBK"/>
    <w:panose1 w:val="00000000000000000000"/>
    <w:charset w:val="86"/>
    <w:family w:val="modern"/>
    <w:pitch w:val="default"/>
    <w:sig w:usb0="00000000" w:usb1="00000000" w:usb2="00000016" w:usb3="00000000" w:csb0="00040001" w:csb1="00000000"/>
  </w:font>
  <w:font w:name="Arial Unicode MS">
    <w:altName w:val="DejaVu Sans"/>
    <w:panose1 w:val="020B0604020202020204"/>
    <w:charset w:val="86"/>
    <w:family w:val="swiss"/>
    <w:pitch w:val="default"/>
    <w:sig w:usb0="00000000" w:usb1="00000000" w:usb2="0000003F" w:usb3="00000000" w:csb0="003F01FF" w:csb1="00000000"/>
  </w:font>
  <w:font w:name="Helvetica-Narrow">
    <w:altName w:val="汉仪叶叶相思体简"/>
    <w:panose1 w:val="00000000000000000000"/>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default"/>
    <w:sig w:usb0="00000000" w:usb1="00000000" w:usb2="02000000" w:usb3="00000000" w:csb0="0000019F" w:csb1="00000000"/>
  </w:font>
  <w:font w:name="方正仿宋简体">
    <w:altName w:val="方正仿宋_GBK"/>
    <w:panose1 w:val="00000000000000000000"/>
    <w:charset w:val="86"/>
    <w:family w:val="auto"/>
    <w:pitch w:val="default"/>
    <w:sig w:usb0="00000000" w:usb1="00000000" w:usb2="0000001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Georgia">
    <w:altName w:val="Noto Sans Syriac Eastern"/>
    <w:panose1 w:val="02040502050405020303"/>
    <w:charset w:val="00"/>
    <w:family w:val="roman"/>
    <w:pitch w:val="default"/>
    <w:sig w:usb0="00000000" w:usb1="00000000" w:usb2="00000000" w:usb3="00000000" w:csb0="0000009F" w:csb1="00000000"/>
  </w:font>
  <w:font w:name="CIDFont+F4">
    <w:altName w:val="汉仪仿宋S"/>
    <w:panose1 w:val="00000000000000000000"/>
    <w:charset w:val="00"/>
    <w:family w:val="roman"/>
    <w:pitch w:val="default"/>
    <w:sig w:usb0="00000000" w:usb1="00000000" w:usb2="00000000" w:usb3="00000000" w:csb0="00000000" w:csb1="00000000"/>
  </w:font>
  <w:font w:name="CIDFont+F1">
    <w:altName w:val="汉仪仿宋S"/>
    <w:panose1 w:val="00000000000000000000"/>
    <w:charset w:val="00"/>
    <w:family w:val="roman"/>
    <w:pitch w:val="default"/>
    <w:sig w:usb0="00000000" w:usb1="00000000" w:usb2="00000000" w:usb3="00000000" w:csb0="00000000" w:csb1="00000000"/>
  </w:font>
  <w:font w:name="方正大标宋简体">
    <w:altName w:val="方正书宋_GBK"/>
    <w:panose1 w:val="00000000000000000000"/>
    <w:charset w:val="86"/>
    <w:family w:val="auto"/>
    <w:pitch w:val="default"/>
    <w:sig w:usb0="00000000" w:usb1="00000000" w:usb2="0000001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黑体_GBK">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82812"/>
      <w:docPartObj>
        <w:docPartGallery w:val="autotext"/>
      </w:docPartObj>
    </w:sdtPr>
    <w:sdtEndPr>
      <w:rPr>
        <w:rFonts w:ascii="宋体" w:hAnsi="宋体" w:eastAsia="宋体"/>
        <w:sz w:val="28"/>
      </w:rPr>
    </w:sdtEndPr>
    <w:sdtContent>
      <w:p>
        <w:pPr>
          <w:pStyle w:val="31"/>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w:t>
        </w:r>
        <w:r>
          <w:rPr>
            <w:rFonts w:ascii="宋体" w:hAnsi="宋体" w:eastAsia="宋体"/>
            <w:sz w:val="28"/>
          </w:rPr>
          <w:t xml:space="preserve"> 3 -</w:t>
        </w:r>
        <w:r>
          <w:rPr>
            <w:rFonts w:ascii="宋体" w:hAnsi="宋体" w:eastAsia="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565475"/>
      <w:docPartObj>
        <w:docPartGallery w:val="autotext"/>
      </w:docPartObj>
    </w:sdtPr>
    <w:sdtEndPr>
      <w:rPr>
        <w:rFonts w:ascii="宋体" w:hAnsi="宋体" w:eastAsia="宋体"/>
        <w:sz w:val="28"/>
      </w:rPr>
    </w:sdtEndPr>
    <w:sdtContent>
      <w:p>
        <w:pPr>
          <w:pStyle w:val="3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- 4 -</w:t>
        </w:r>
        <w:r>
          <w:rPr>
            <w:rFonts w:ascii="宋体" w:hAnsi="宋体" w:eastAsia="宋体"/>
            <w:sz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935202"/>
    </w:sdtPr>
    <w:sdtEndPr>
      <w:rPr>
        <w:rFonts w:ascii="宋体" w:hAnsi="宋体" w:eastAsia="宋体"/>
        <w:sz w:val="28"/>
      </w:rPr>
    </w:sdtEndPr>
    <w:sdtContent>
      <w:p>
        <w:pPr>
          <w:pStyle w:val="31"/>
          <w:jc w:val="right"/>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lang w:val="zh-CN"/>
          </w:rPr>
          <w:t>9</w:t>
        </w:r>
        <w:r>
          <w:rPr>
            <w:rFonts w:ascii="宋体" w:hAnsi="宋体" w:eastAsia="宋体"/>
            <w:sz w:val="28"/>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1492286"/>
    </w:sdtPr>
    <w:sdtEndPr>
      <w:rPr>
        <w:rFonts w:ascii="宋体" w:hAnsi="宋体" w:eastAsia="宋体"/>
        <w:sz w:val="28"/>
      </w:rPr>
    </w:sdtEndPr>
    <w:sdtContent>
      <w:p>
        <w:pPr>
          <w:pStyle w:val="31"/>
          <w:rPr>
            <w:rFonts w:ascii="宋体" w:hAnsi="宋体" w:eastAsia="宋体"/>
            <w:sz w:val="28"/>
          </w:rPr>
        </w:pPr>
        <w:r>
          <w:rPr>
            <w:rFonts w:ascii="宋体" w:hAnsi="宋体" w:eastAsia="宋体"/>
            <w:sz w:val="28"/>
          </w:rPr>
          <w:fldChar w:fldCharType="begin"/>
        </w:r>
        <w:r>
          <w:rPr>
            <w:rFonts w:ascii="宋体" w:hAnsi="宋体" w:eastAsia="宋体"/>
            <w:sz w:val="28"/>
          </w:rPr>
          <w:instrText xml:space="preserve">PAGE   \* MERGEFORMAT</w:instrText>
        </w:r>
        <w:r>
          <w:rPr>
            <w:rFonts w:ascii="宋体" w:hAnsi="宋体" w:eastAsia="宋体"/>
            <w:sz w:val="28"/>
          </w:rPr>
          <w:fldChar w:fldCharType="separate"/>
        </w:r>
        <w:r>
          <w:rPr>
            <w:rFonts w:ascii="宋体" w:hAnsi="宋体" w:eastAsia="宋体"/>
            <w:sz w:val="28"/>
          </w:rPr>
          <w:t>8</w:t>
        </w:r>
        <w:r>
          <w:rPr>
            <w:rFonts w:ascii="宋体" w:hAnsi="宋体" w:eastAsia="宋体"/>
            <w:sz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43138"/>
    <w:multiLevelType w:val="multilevel"/>
    <w:tmpl w:val="3AC43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FE0499"/>
    <w:multiLevelType w:val="multilevel"/>
    <w:tmpl w:val="5EFE0499"/>
    <w:lvl w:ilvl="0" w:tentative="0">
      <w:start w:val="1"/>
      <w:numFmt w:val="chineseCountingThousand"/>
      <w:lvlText w:val="(%1)"/>
      <w:lvlJc w:val="left"/>
      <w:pPr>
        <w:ind w:left="780" w:hanging="360"/>
      </w:pPr>
      <w:rPr>
        <w:rFonts w:hint="default"/>
        <w:b/>
        <w:color w:val="00000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69A77C3A"/>
    <w:multiLevelType w:val="multilevel"/>
    <w:tmpl w:val="69A77C3A"/>
    <w:lvl w:ilvl="0" w:tentative="0">
      <w:start w:val="1"/>
      <w:numFmt w:val="decimal"/>
      <w:lvlText w:val="%1、"/>
      <w:lvlJc w:val="left"/>
      <w:pPr>
        <w:ind w:left="324" w:hanging="32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true"/>
  <w:bordersDoNotSurroundFooter w:val="true"/>
  <w:hideSpellingErrors/>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C2"/>
    <w:rsid w:val="00001177"/>
    <w:rsid w:val="000020A2"/>
    <w:rsid w:val="00002AC8"/>
    <w:rsid w:val="00007E83"/>
    <w:rsid w:val="00010BD6"/>
    <w:rsid w:val="00011356"/>
    <w:rsid w:val="00011937"/>
    <w:rsid w:val="0001280D"/>
    <w:rsid w:val="0001473E"/>
    <w:rsid w:val="00014EBA"/>
    <w:rsid w:val="0001719B"/>
    <w:rsid w:val="00017A56"/>
    <w:rsid w:val="00020005"/>
    <w:rsid w:val="0002545E"/>
    <w:rsid w:val="000271D0"/>
    <w:rsid w:val="000336A4"/>
    <w:rsid w:val="00033D15"/>
    <w:rsid w:val="00040EDE"/>
    <w:rsid w:val="0004243D"/>
    <w:rsid w:val="00042E57"/>
    <w:rsid w:val="0004489A"/>
    <w:rsid w:val="00050379"/>
    <w:rsid w:val="000507B6"/>
    <w:rsid w:val="00051F06"/>
    <w:rsid w:val="00053D0D"/>
    <w:rsid w:val="000540C3"/>
    <w:rsid w:val="000550C2"/>
    <w:rsid w:val="000558F1"/>
    <w:rsid w:val="000561DC"/>
    <w:rsid w:val="00056B71"/>
    <w:rsid w:val="000573FF"/>
    <w:rsid w:val="0005757C"/>
    <w:rsid w:val="00057707"/>
    <w:rsid w:val="0006367D"/>
    <w:rsid w:val="000668B9"/>
    <w:rsid w:val="00067BBF"/>
    <w:rsid w:val="0007387A"/>
    <w:rsid w:val="00074A87"/>
    <w:rsid w:val="000804BC"/>
    <w:rsid w:val="00081F94"/>
    <w:rsid w:val="00083FF0"/>
    <w:rsid w:val="00084EB8"/>
    <w:rsid w:val="00086F1D"/>
    <w:rsid w:val="000943F6"/>
    <w:rsid w:val="00096EC5"/>
    <w:rsid w:val="000A152B"/>
    <w:rsid w:val="000A25E7"/>
    <w:rsid w:val="000A38FD"/>
    <w:rsid w:val="000A40E6"/>
    <w:rsid w:val="000A60BE"/>
    <w:rsid w:val="000A6112"/>
    <w:rsid w:val="000A6BBF"/>
    <w:rsid w:val="000B0682"/>
    <w:rsid w:val="000B1EA6"/>
    <w:rsid w:val="000B2D31"/>
    <w:rsid w:val="000B3D69"/>
    <w:rsid w:val="000B76EA"/>
    <w:rsid w:val="000C45F3"/>
    <w:rsid w:val="000D03F4"/>
    <w:rsid w:val="000D085A"/>
    <w:rsid w:val="000D72E3"/>
    <w:rsid w:val="000E1697"/>
    <w:rsid w:val="000E714D"/>
    <w:rsid w:val="000F0270"/>
    <w:rsid w:val="000F182F"/>
    <w:rsid w:val="000F30C9"/>
    <w:rsid w:val="000F41FB"/>
    <w:rsid w:val="000F4317"/>
    <w:rsid w:val="000F5803"/>
    <w:rsid w:val="001005AC"/>
    <w:rsid w:val="001045E2"/>
    <w:rsid w:val="00104B61"/>
    <w:rsid w:val="00114427"/>
    <w:rsid w:val="00115D44"/>
    <w:rsid w:val="0011653E"/>
    <w:rsid w:val="00120109"/>
    <w:rsid w:val="00120EF0"/>
    <w:rsid w:val="00121DF3"/>
    <w:rsid w:val="00124550"/>
    <w:rsid w:val="00124641"/>
    <w:rsid w:val="00130F5E"/>
    <w:rsid w:val="00131598"/>
    <w:rsid w:val="00131F0A"/>
    <w:rsid w:val="00135B08"/>
    <w:rsid w:val="001430D2"/>
    <w:rsid w:val="00143BA8"/>
    <w:rsid w:val="00143FC4"/>
    <w:rsid w:val="00150425"/>
    <w:rsid w:val="00152492"/>
    <w:rsid w:val="00152752"/>
    <w:rsid w:val="001530DD"/>
    <w:rsid w:val="00156E2F"/>
    <w:rsid w:val="00157833"/>
    <w:rsid w:val="001579B7"/>
    <w:rsid w:val="00163781"/>
    <w:rsid w:val="00163AB7"/>
    <w:rsid w:val="00171154"/>
    <w:rsid w:val="00174568"/>
    <w:rsid w:val="0018251E"/>
    <w:rsid w:val="00183EA1"/>
    <w:rsid w:val="0018400A"/>
    <w:rsid w:val="00185504"/>
    <w:rsid w:val="00186C7F"/>
    <w:rsid w:val="00191483"/>
    <w:rsid w:val="001941D3"/>
    <w:rsid w:val="00194424"/>
    <w:rsid w:val="0019525A"/>
    <w:rsid w:val="001953A7"/>
    <w:rsid w:val="001964AF"/>
    <w:rsid w:val="001A0646"/>
    <w:rsid w:val="001A2E31"/>
    <w:rsid w:val="001A5FDE"/>
    <w:rsid w:val="001A785B"/>
    <w:rsid w:val="001B34BA"/>
    <w:rsid w:val="001B7BD0"/>
    <w:rsid w:val="001C1253"/>
    <w:rsid w:val="001C5D06"/>
    <w:rsid w:val="001C7497"/>
    <w:rsid w:val="001D05AE"/>
    <w:rsid w:val="001D12E7"/>
    <w:rsid w:val="001D1CF5"/>
    <w:rsid w:val="001D6383"/>
    <w:rsid w:val="001E20CE"/>
    <w:rsid w:val="001E22F1"/>
    <w:rsid w:val="001E2B94"/>
    <w:rsid w:val="001E5915"/>
    <w:rsid w:val="001E7A7B"/>
    <w:rsid w:val="001E7F8E"/>
    <w:rsid w:val="001F30EE"/>
    <w:rsid w:val="001F6310"/>
    <w:rsid w:val="001F64F9"/>
    <w:rsid w:val="001F6C77"/>
    <w:rsid w:val="001F6F2A"/>
    <w:rsid w:val="0020272E"/>
    <w:rsid w:val="002029CF"/>
    <w:rsid w:val="00202A38"/>
    <w:rsid w:val="00202A8C"/>
    <w:rsid w:val="002056CE"/>
    <w:rsid w:val="00210F29"/>
    <w:rsid w:val="002129C0"/>
    <w:rsid w:val="00217A03"/>
    <w:rsid w:val="00226114"/>
    <w:rsid w:val="00227A0B"/>
    <w:rsid w:val="002314A9"/>
    <w:rsid w:val="00233178"/>
    <w:rsid w:val="002355C8"/>
    <w:rsid w:val="0024353B"/>
    <w:rsid w:val="002457BA"/>
    <w:rsid w:val="002458B1"/>
    <w:rsid w:val="00253E88"/>
    <w:rsid w:val="00255CD0"/>
    <w:rsid w:val="00256708"/>
    <w:rsid w:val="002575E5"/>
    <w:rsid w:val="00257C2C"/>
    <w:rsid w:val="00257DDF"/>
    <w:rsid w:val="00260C63"/>
    <w:rsid w:val="00260D8A"/>
    <w:rsid w:val="00263A86"/>
    <w:rsid w:val="00264D48"/>
    <w:rsid w:val="00272685"/>
    <w:rsid w:val="00272A4B"/>
    <w:rsid w:val="0027379D"/>
    <w:rsid w:val="00274272"/>
    <w:rsid w:val="00276EE8"/>
    <w:rsid w:val="002836E2"/>
    <w:rsid w:val="002865E6"/>
    <w:rsid w:val="00286D7E"/>
    <w:rsid w:val="00287296"/>
    <w:rsid w:val="002915DD"/>
    <w:rsid w:val="002916D0"/>
    <w:rsid w:val="002A34B8"/>
    <w:rsid w:val="002A7FB3"/>
    <w:rsid w:val="002B35F7"/>
    <w:rsid w:val="002B3B2E"/>
    <w:rsid w:val="002B4CDF"/>
    <w:rsid w:val="002B67FB"/>
    <w:rsid w:val="002C0883"/>
    <w:rsid w:val="002C1F52"/>
    <w:rsid w:val="002C25A3"/>
    <w:rsid w:val="002C2A41"/>
    <w:rsid w:val="002C4C2F"/>
    <w:rsid w:val="002D0B40"/>
    <w:rsid w:val="002E0E26"/>
    <w:rsid w:val="002E1B34"/>
    <w:rsid w:val="002E6BFE"/>
    <w:rsid w:val="002E7EC7"/>
    <w:rsid w:val="002F0E8E"/>
    <w:rsid w:val="002F1A97"/>
    <w:rsid w:val="00300B88"/>
    <w:rsid w:val="00306951"/>
    <w:rsid w:val="00314A00"/>
    <w:rsid w:val="00316F7B"/>
    <w:rsid w:val="00317D62"/>
    <w:rsid w:val="00317EE8"/>
    <w:rsid w:val="0032068E"/>
    <w:rsid w:val="00321182"/>
    <w:rsid w:val="00322CA3"/>
    <w:rsid w:val="00322DEE"/>
    <w:rsid w:val="00330AEB"/>
    <w:rsid w:val="0033280D"/>
    <w:rsid w:val="00332AD7"/>
    <w:rsid w:val="003442F4"/>
    <w:rsid w:val="00347743"/>
    <w:rsid w:val="003506F5"/>
    <w:rsid w:val="00350C63"/>
    <w:rsid w:val="00350D4D"/>
    <w:rsid w:val="00354662"/>
    <w:rsid w:val="00363165"/>
    <w:rsid w:val="00363EA4"/>
    <w:rsid w:val="003643D1"/>
    <w:rsid w:val="0036686C"/>
    <w:rsid w:val="00366946"/>
    <w:rsid w:val="00372F75"/>
    <w:rsid w:val="003742C8"/>
    <w:rsid w:val="00376869"/>
    <w:rsid w:val="0037766B"/>
    <w:rsid w:val="00377DC5"/>
    <w:rsid w:val="00377DE4"/>
    <w:rsid w:val="00382FBC"/>
    <w:rsid w:val="0038473C"/>
    <w:rsid w:val="00385DDC"/>
    <w:rsid w:val="00390086"/>
    <w:rsid w:val="003904A5"/>
    <w:rsid w:val="0039187F"/>
    <w:rsid w:val="00392D64"/>
    <w:rsid w:val="00394BF9"/>
    <w:rsid w:val="003962F2"/>
    <w:rsid w:val="00397CEF"/>
    <w:rsid w:val="003A23C2"/>
    <w:rsid w:val="003A2A3C"/>
    <w:rsid w:val="003A5E5F"/>
    <w:rsid w:val="003B272C"/>
    <w:rsid w:val="003B2E63"/>
    <w:rsid w:val="003B2EFB"/>
    <w:rsid w:val="003B6EB9"/>
    <w:rsid w:val="003C116C"/>
    <w:rsid w:val="003C1C29"/>
    <w:rsid w:val="003C29B1"/>
    <w:rsid w:val="003C3078"/>
    <w:rsid w:val="003C3296"/>
    <w:rsid w:val="003C4EB3"/>
    <w:rsid w:val="003D0876"/>
    <w:rsid w:val="003D12D2"/>
    <w:rsid w:val="003D19A9"/>
    <w:rsid w:val="003D2BB5"/>
    <w:rsid w:val="003D39E5"/>
    <w:rsid w:val="003D5A7B"/>
    <w:rsid w:val="003D6C85"/>
    <w:rsid w:val="003F0684"/>
    <w:rsid w:val="003F284A"/>
    <w:rsid w:val="003F4146"/>
    <w:rsid w:val="004008DD"/>
    <w:rsid w:val="00400F8A"/>
    <w:rsid w:val="00402D43"/>
    <w:rsid w:val="004038F6"/>
    <w:rsid w:val="00413313"/>
    <w:rsid w:val="00414CD3"/>
    <w:rsid w:val="00415DDF"/>
    <w:rsid w:val="00420573"/>
    <w:rsid w:val="00421F5B"/>
    <w:rsid w:val="00434B3C"/>
    <w:rsid w:val="00435718"/>
    <w:rsid w:val="004405B8"/>
    <w:rsid w:val="004452B3"/>
    <w:rsid w:val="00447496"/>
    <w:rsid w:val="0045321F"/>
    <w:rsid w:val="00455B19"/>
    <w:rsid w:val="00455FD6"/>
    <w:rsid w:val="00456943"/>
    <w:rsid w:val="004603AE"/>
    <w:rsid w:val="004607FB"/>
    <w:rsid w:val="0046128C"/>
    <w:rsid w:val="00471DD3"/>
    <w:rsid w:val="004727B1"/>
    <w:rsid w:val="004746BB"/>
    <w:rsid w:val="00475136"/>
    <w:rsid w:val="00475F3A"/>
    <w:rsid w:val="004777A6"/>
    <w:rsid w:val="00480EF0"/>
    <w:rsid w:val="00484408"/>
    <w:rsid w:val="004875A5"/>
    <w:rsid w:val="004A0A30"/>
    <w:rsid w:val="004A0D50"/>
    <w:rsid w:val="004A3CF3"/>
    <w:rsid w:val="004B2C9D"/>
    <w:rsid w:val="004B3BC1"/>
    <w:rsid w:val="004B5458"/>
    <w:rsid w:val="004B610F"/>
    <w:rsid w:val="004B706B"/>
    <w:rsid w:val="004C4199"/>
    <w:rsid w:val="004C53B5"/>
    <w:rsid w:val="004D02FA"/>
    <w:rsid w:val="004D1C0B"/>
    <w:rsid w:val="004D2457"/>
    <w:rsid w:val="004D4C46"/>
    <w:rsid w:val="004D7D4E"/>
    <w:rsid w:val="004E0B44"/>
    <w:rsid w:val="004E0CCF"/>
    <w:rsid w:val="004E4567"/>
    <w:rsid w:val="004E5EFB"/>
    <w:rsid w:val="004E6BF8"/>
    <w:rsid w:val="004E7E33"/>
    <w:rsid w:val="004F037F"/>
    <w:rsid w:val="004F0842"/>
    <w:rsid w:val="004F1235"/>
    <w:rsid w:val="004F20D1"/>
    <w:rsid w:val="00500BCB"/>
    <w:rsid w:val="00500C10"/>
    <w:rsid w:val="00500EC1"/>
    <w:rsid w:val="00515704"/>
    <w:rsid w:val="00522145"/>
    <w:rsid w:val="005259F6"/>
    <w:rsid w:val="00525DF0"/>
    <w:rsid w:val="00530C3E"/>
    <w:rsid w:val="00532987"/>
    <w:rsid w:val="0053407F"/>
    <w:rsid w:val="00534A6D"/>
    <w:rsid w:val="00535B76"/>
    <w:rsid w:val="005369D4"/>
    <w:rsid w:val="005372F0"/>
    <w:rsid w:val="00537A8D"/>
    <w:rsid w:val="005417C3"/>
    <w:rsid w:val="005433FB"/>
    <w:rsid w:val="0054556B"/>
    <w:rsid w:val="005479EA"/>
    <w:rsid w:val="00551201"/>
    <w:rsid w:val="00553FD9"/>
    <w:rsid w:val="00556D77"/>
    <w:rsid w:val="00557932"/>
    <w:rsid w:val="00560EDC"/>
    <w:rsid w:val="00562AC0"/>
    <w:rsid w:val="00563487"/>
    <w:rsid w:val="00565FB3"/>
    <w:rsid w:val="005671D0"/>
    <w:rsid w:val="00567BF4"/>
    <w:rsid w:val="00567FAA"/>
    <w:rsid w:val="00570428"/>
    <w:rsid w:val="00571080"/>
    <w:rsid w:val="0057527C"/>
    <w:rsid w:val="00575365"/>
    <w:rsid w:val="005847DA"/>
    <w:rsid w:val="00586D7A"/>
    <w:rsid w:val="005913F5"/>
    <w:rsid w:val="00591FC0"/>
    <w:rsid w:val="00593544"/>
    <w:rsid w:val="005941BD"/>
    <w:rsid w:val="00594D0B"/>
    <w:rsid w:val="005953CD"/>
    <w:rsid w:val="00595A0A"/>
    <w:rsid w:val="00596BC7"/>
    <w:rsid w:val="00597A37"/>
    <w:rsid w:val="005A07CD"/>
    <w:rsid w:val="005A0C31"/>
    <w:rsid w:val="005A1B56"/>
    <w:rsid w:val="005A1DE9"/>
    <w:rsid w:val="005A2AE0"/>
    <w:rsid w:val="005A2C15"/>
    <w:rsid w:val="005A3099"/>
    <w:rsid w:val="005A38CE"/>
    <w:rsid w:val="005A4F19"/>
    <w:rsid w:val="005A6042"/>
    <w:rsid w:val="005B00D2"/>
    <w:rsid w:val="005B18A7"/>
    <w:rsid w:val="005B20F4"/>
    <w:rsid w:val="005B25D4"/>
    <w:rsid w:val="005B611A"/>
    <w:rsid w:val="005B6922"/>
    <w:rsid w:val="005B742C"/>
    <w:rsid w:val="005B7A5D"/>
    <w:rsid w:val="005C0F8B"/>
    <w:rsid w:val="005C4AEB"/>
    <w:rsid w:val="005C4C94"/>
    <w:rsid w:val="005D3326"/>
    <w:rsid w:val="005D4DBD"/>
    <w:rsid w:val="005F03E7"/>
    <w:rsid w:val="005F38B1"/>
    <w:rsid w:val="005F6230"/>
    <w:rsid w:val="005F6553"/>
    <w:rsid w:val="00610165"/>
    <w:rsid w:val="00610E75"/>
    <w:rsid w:val="006159FC"/>
    <w:rsid w:val="00622926"/>
    <w:rsid w:val="0062340C"/>
    <w:rsid w:val="0062527D"/>
    <w:rsid w:val="0062548A"/>
    <w:rsid w:val="006279D0"/>
    <w:rsid w:val="00636C60"/>
    <w:rsid w:val="006379FA"/>
    <w:rsid w:val="00637D27"/>
    <w:rsid w:val="006401F9"/>
    <w:rsid w:val="0064165E"/>
    <w:rsid w:val="0064279C"/>
    <w:rsid w:val="006450B4"/>
    <w:rsid w:val="0064538F"/>
    <w:rsid w:val="00650260"/>
    <w:rsid w:val="00650FA6"/>
    <w:rsid w:val="0065162B"/>
    <w:rsid w:val="00651B88"/>
    <w:rsid w:val="00655FEB"/>
    <w:rsid w:val="006618A5"/>
    <w:rsid w:val="00663371"/>
    <w:rsid w:val="00666608"/>
    <w:rsid w:val="00666C55"/>
    <w:rsid w:val="00667E29"/>
    <w:rsid w:val="00670E01"/>
    <w:rsid w:val="00674E59"/>
    <w:rsid w:val="006757A8"/>
    <w:rsid w:val="00676627"/>
    <w:rsid w:val="00676AEA"/>
    <w:rsid w:val="00680E63"/>
    <w:rsid w:val="00681F3B"/>
    <w:rsid w:val="0068247B"/>
    <w:rsid w:val="006826F1"/>
    <w:rsid w:val="00682867"/>
    <w:rsid w:val="00683DE5"/>
    <w:rsid w:val="00691FC3"/>
    <w:rsid w:val="006B0482"/>
    <w:rsid w:val="006B08E5"/>
    <w:rsid w:val="006B26F8"/>
    <w:rsid w:val="006B3706"/>
    <w:rsid w:val="006B3E7D"/>
    <w:rsid w:val="006B602C"/>
    <w:rsid w:val="006B6A52"/>
    <w:rsid w:val="006C4396"/>
    <w:rsid w:val="006C5291"/>
    <w:rsid w:val="006C67F6"/>
    <w:rsid w:val="006C721B"/>
    <w:rsid w:val="006D047B"/>
    <w:rsid w:val="006D3FDA"/>
    <w:rsid w:val="006D441A"/>
    <w:rsid w:val="006D5FAD"/>
    <w:rsid w:val="006D67A1"/>
    <w:rsid w:val="006D7FEC"/>
    <w:rsid w:val="006E1278"/>
    <w:rsid w:val="006E41F3"/>
    <w:rsid w:val="006E5FFC"/>
    <w:rsid w:val="006E615B"/>
    <w:rsid w:val="006E7CDA"/>
    <w:rsid w:val="006F3372"/>
    <w:rsid w:val="00700486"/>
    <w:rsid w:val="00703810"/>
    <w:rsid w:val="00704979"/>
    <w:rsid w:val="00704A41"/>
    <w:rsid w:val="00705445"/>
    <w:rsid w:val="007060E1"/>
    <w:rsid w:val="00710364"/>
    <w:rsid w:val="00710533"/>
    <w:rsid w:val="00712B21"/>
    <w:rsid w:val="00712D5A"/>
    <w:rsid w:val="007165E5"/>
    <w:rsid w:val="0072178A"/>
    <w:rsid w:val="007220C9"/>
    <w:rsid w:val="00724075"/>
    <w:rsid w:val="0073061E"/>
    <w:rsid w:val="00730796"/>
    <w:rsid w:val="00733768"/>
    <w:rsid w:val="007341C3"/>
    <w:rsid w:val="007355D1"/>
    <w:rsid w:val="00735E06"/>
    <w:rsid w:val="00742524"/>
    <w:rsid w:val="00742EB9"/>
    <w:rsid w:val="00743EEA"/>
    <w:rsid w:val="00744606"/>
    <w:rsid w:val="00746B96"/>
    <w:rsid w:val="00747DF1"/>
    <w:rsid w:val="007568AC"/>
    <w:rsid w:val="007579D4"/>
    <w:rsid w:val="007627FE"/>
    <w:rsid w:val="00762D66"/>
    <w:rsid w:val="00764C91"/>
    <w:rsid w:val="00767079"/>
    <w:rsid w:val="007700F3"/>
    <w:rsid w:val="00770FF2"/>
    <w:rsid w:val="00774C89"/>
    <w:rsid w:val="00777A9F"/>
    <w:rsid w:val="00777FA5"/>
    <w:rsid w:val="00782804"/>
    <w:rsid w:val="00784156"/>
    <w:rsid w:val="007855F0"/>
    <w:rsid w:val="0078631E"/>
    <w:rsid w:val="00786C0C"/>
    <w:rsid w:val="00787CC7"/>
    <w:rsid w:val="00797620"/>
    <w:rsid w:val="007A0A6D"/>
    <w:rsid w:val="007A3EC9"/>
    <w:rsid w:val="007A6D14"/>
    <w:rsid w:val="007A6F85"/>
    <w:rsid w:val="007B0053"/>
    <w:rsid w:val="007B10ED"/>
    <w:rsid w:val="007B2088"/>
    <w:rsid w:val="007C559C"/>
    <w:rsid w:val="007C60CE"/>
    <w:rsid w:val="007D2088"/>
    <w:rsid w:val="007D4A20"/>
    <w:rsid w:val="007D4EBC"/>
    <w:rsid w:val="007E6863"/>
    <w:rsid w:val="007E7B27"/>
    <w:rsid w:val="007F1AA4"/>
    <w:rsid w:val="007F40B7"/>
    <w:rsid w:val="007F484A"/>
    <w:rsid w:val="007F5BD6"/>
    <w:rsid w:val="007F7ABB"/>
    <w:rsid w:val="008038BD"/>
    <w:rsid w:val="0080426C"/>
    <w:rsid w:val="008058C3"/>
    <w:rsid w:val="00811C54"/>
    <w:rsid w:val="008120A0"/>
    <w:rsid w:val="0082053D"/>
    <w:rsid w:val="008232DE"/>
    <w:rsid w:val="00826170"/>
    <w:rsid w:val="008274BD"/>
    <w:rsid w:val="00827FA7"/>
    <w:rsid w:val="00827FC6"/>
    <w:rsid w:val="00831197"/>
    <w:rsid w:val="00832223"/>
    <w:rsid w:val="00832FCD"/>
    <w:rsid w:val="00835E74"/>
    <w:rsid w:val="00837AEA"/>
    <w:rsid w:val="008401D5"/>
    <w:rsid w:val="00841BB6"/>
    <w:rsid w:val="00841F8F"/>
    <w:rsid w:val="008436A5"/>
    <w:rsid w:val="00843939"/>
    <w:rsid w:val="00850229"/>
    <w:rsid w:val="00851AC2"/>
    <w:rsid w:val="00852F19"/>
    <w:rsid w:val="00853951"/>
    <w:rsid w:val="00853A08"/>
    <w:rsid w:val="00856E80"/>
    <w:rsid w:val="00860C36"/>
    <w:rsid w:val="0086309D"/>
    <w:rsid w:val="008671B2"/>
    <w:rsid w:val="00876684"/>
    <w:rsid w:val="008771BD"/>
    <w:rsid w:val="00880908"/>
    <w:rsid w:val="00882C01"/>
    <w:rsid w:val="0088309A"/>
    <w:rsid w:val="00884290"/>
    <w:rsid w:val="00891F70"/>
    <w:rsid w:val="00896C27"/>
    <w:rsid w:val="0089798F"/>
    <w:rsid w:val="00897B59"/>
    <w:rsid w:val="008A1432"/>
    <w:rsid w:val="008A26E7"/>
    <w:rsid w:val="008A2868"/>
    <w:rsid w:val="008A2E3C"/>
    <w:rsid w:val="008A43EA"/>
    <w:rsid w:val="008A625B"/>
    <w:rsid w:val="008A6DBD"/>
    <w:rsid w:val="008B03EC"/>
    <w:rsid w:val="008B1EF7"/>
    <w:rsid w:val="008B30BC"/>
    <w:rsid w:val="008B54E0"/>
    <w:rsid w:val="008B5B7C"/>
    <w:rsid w:val="008C3C59"/>
    <w:rsid w:val="008C4BF5"/>
    <w:rsid w:val="008C4C40"/>
    <w:rsid w:val="008C7851"/>
    <w:rsid w:val="008D1B86"/>
    <w:rsid w:val="008D6B81"/>
    <w:rsid w:val="008E2FA8"/>
    <w:rsid w:val="008E4549"/>
    <w:rsid w:val="008E4A33"/>
    <w:rsid w:val="008E6109"/>
    <w:rsid w:val="008E6DEC"/>
    <w:rsid w:val="008E713A"/>
    <w:rsid w:val="008E7D2B"/>
    <w:rsid w:val="008F091B"/>
    <w:rsid w:val="008F1D05"/>
    <w:rsid w:val="008F25A1"/>
    <w:rsid w:val="008F3317"/>
    <w:rsid w:val="008F59F1"/>
    <w:rsid w:val="008F73B9"/>
    <w:rsid w:val="00900427"/>
    <w:rsid w:val="00905CC0"/>
    <w:rsid w:val="00905DE4"/>
    <w:rsid w:val="00906B7E"/>
    <w:rsid w:val="00910B87"/>
    <w:rsid w:val="00912777"/>
    <w:rsid w:val="009146E7"/>
    <w:rsid w:val="00917325"/>
    <w:rsid w:val="0092189B"/>
    <w:rsid w:val="0092589C"/>
    <w:rsid w:val="00931E9E"/>
    <w:rsid w:val="00933B74"/>
    <w:rsid w:val="009347EE"/>
    <w:rsid w:val="00934D19"/>
    <w:rsid w:val="009378CC"/>
    <w:rsid w:val="00943B41"/>
    <w:rsid w:val="00943FFB"/>
    <w:rsid w:val="00946176"/>
    <w:rsid w:val="00946BE3"/>
    <w:rsid w:val="0094788F"/>
    <w:rsid w:val="009525DC"/>
    <w:rsid w:val="009605BE"/>
    <w:rsid w:val="00961451"/>
    <w:rsid w:val="009648BA"/>
    <w:rsid w:val="00964DAA"/>
    <w:rsid w:val="0096659B"/>
    <w:rsid w:val="00970DD9"/>
    <w:rsid w:val="00971119"/>
    <w:rsid w:val="00972AE7"/>
    <w:rsid w:val="009755CA"/>
    <w:rsid w:val="00976465"/>
    <w:rsid w:val="009773A8"/>
    <w:rsid w:val="009777B3"/>
    <w:rsid w:val="009821C7"/>
    <w:rsid w:val="009843D5"/>
    <w:rsid w:val="0098462C"/>
    <w:rsid w:val="00984C85"/>
    <w:rsid w:val="0099040E"/>
    <w:rsid w:val="009908DA"/>
    <w:rsid w:val="00990924"/>
    <w:rsid w:val="009920D5"/>
    <w:rsid w:val="009935D2"/>
    <w:rsid w:val="009939F3"/>
    <w:rsid w:val="0099699B"/>
    <w:rsid w:val="00997278"/>
    <w:rsid w:val="009979A6"/>
    <w:rsid w:val="009A24C1"/>
    <w:rsid w:val="009A3537"/>
    <w:rsid w:val="009A5AED"/>
    <w:rsid w:val="009A5B44"/>
    <w:rsid w:val="009A5FDA"/>
    <w:rsid w:val="009A6795"/>
    <w:rsid w:val="009B02F1"/>
    <w:rsid w:val="009B256C"/>
    <w:rsid w:val="009B26DC"/>
    <w:rsid w:val="009B27E8"/>
    <w:rsid w:val="009B2A64"/>
    <w:rsid w:val="009B7882"/>
    <w:rsid w:val="009C34FC"/>
    <w:rsid w:val="009C3B90"/>
    <w:rsid w:val="009C5C1D"/>
    <w:rsid w:val="009D5492"/>
    <w:rsid w:val="009E29BF"/>
    <w:rsid w:val="009E39CB"/>
    <w:rsid w:val="009E48CA"/>
    <w:rsid w:val="009E60C0"/>
    <w:rsid w:val="009E6DCC"/>
    <w:rsid w:val="009F0526"/>
    <w:rsid w:val="009F15BE"/>
    <w:rsid w:val="009F1DEE"/>
    <w:rsid w:val="009F7808"/>
    <w:rsid w:val="00A00442"/>
    <w:rsid w:val="00A02434"/>
    <w:rsid w:val="00A02A4F"/>
    <w:rsid w:val="00A04FD8"/>
    <w:rsid w:val="00A05DDE"/>
    <w:rsid w:val="00A219EC"/>
    <w:rsid w:val="00A25344"/>
    <w:rsid w:val="00A266A1"/>
    <w:rsid w:val="00A304B5"/>
    <w:rsid w:val="00A322CE"/>
    <w:rsid w:val="00A324A3"/>
    <w:rsid w:val="00A33D4B"/>
    <w:rsid w:val="00A3592F"/>
    <w:rsid w:val="00A37AFC"/>
    <w:rsid w:val="00A42084"/>
    <w:rsid w:val="00A43AE5"/>
    <w:rsid w:val="00A525C8"/>
    <w:rsid w:val="00A54EB7"/>
    <w:rsid w:val="00A6308F"/>
    <w:rsid w:val="00A67029"/>
    <w:rsid w:val="00A71AF9"/>
    <w:rsid w:val="00A72017"/>
    <w:rsid w:val="00A73A70"/>
    <w:rsid w:val="00A74B71"/>
    <w:rsid w:val="00A769FC"/>
    <w:rsid w:val="00A76B85"/>
    <w:rsid w:val="00A77119"/>
    <w:rsid w:val="00A80006"/>
    <w:rsid w:val="00A81010"/>
    <w:rsid w:val="00A8330A"/>
    <w:rsid w:val="00A83B24"/>
    <w:rsid w:val="00A83BAD"/>
    <w:rsid w:val="00A8425B"/>
    <w:rsid w:val="00A85212"/>
    <w:rsid w:val="00A854B3"/>
    <w:rsid w:val="00A869FE"/>
    <w:rsid w:val="00A951F0"/>
    <w:rsid w:val="00AA5539"/>
    <w:rsid w:val="00AA74D6"/>
    <w:rsid w:val="00AB0A1A"/>
    <w:rsid w:val="00AB3C69"/>
    <w:rsid w:val="00AB5B12"/>
    <w:rsid w:val="00AB75E4"/>
    <w:rsid w:val="00AC11CA"/>
    <w:rsid w:val="00AC1DFE"/>
    <w:rsid w:val="00AC6AAF"/>
    <w:rsid w:val="00AD03A1"/>
    <w:rsid w:val="00AD5B90"/>
    <w:rsid w:val="00AD7049"/>
    <w:rsid w:val="00AE5541"/>
    <w:rsid w:val="00AF04BE"/>
    <w:rsid w:val="00AF1AFE"/>
    <w:rsid w:val="00AF1D6E"/>
    <w:rsid w:val="00AF1F18"/>
    <w:rsid w:val="00AF3522"/>
    <w:rsid w:val="00AF3E7A"/>
    <w:rsid w:val="00AF4F86"/>
    <w:rsid w:val="00AF5654"/>
    <w:rsid w:val="00AF61BB"/>
    <w:rsid w:val="00AF6A42"/>
    <w:rsid w:val="00AF71E5"/>
    <w:rsid w:val="00B015A9"/>
    <w:rsid w:val="00B0246D"/>
    <w:rsid w:val="00B04083"/>
    <w:rsid w:val="00B0427A"/>
    <w:rsid w:val="00B0457A"/>
    <w:rsid w:val="00B04DD0"/>
    <w:rsid w:val="00B11C77"/>
    <w:rsid w:val="00B11FC4"/>
    <w:rsid w:val="00B12EC3"/>
    <w:rsid w:val="00B15303"/>
    <w:rsid w:val="00B1542C"/>
    <w:rsid w:val="00B1582B"/>
    <w:rsid w:val="00B1720F"/>
    <w:rsid w:val="00B220AC"/>
    <w:rsid w:val="00B23C97"/>
    <w:rsid w:val="00B271E6"/>
    <w:rsid w:val="00B27807"/>
    <w:rsid w:val="00B31065"/>
    <w:rsid w:val="00B339F4"/>
    <w:rsid w:val="00B349C1"/>
    <w:rsid w:val="00B3643F"/>
    <w:rsid w:val="00B37A3B"/>
    <w:rsid w:val="00B4031D"/>
    <w:rsid w:val="00B405A2"/>
    <w:rsid w:val="00B41098"/>
    <w:rsid w:val="00B42382"/>
    <w:rsid w:val="00B44FF9"/>
    <w:rsid w:val="00B47912"/>
    <w:rsid w:val="00B50853"/>
    <w:rsid w:val="00B52E9F"/>
    <w:rsid w:val="00B5326B"/>
    <w:rsid w:val="00B535BC"/>
    <w:rsid w:val="00B53F9D"/>
    <w:rsid w:val="00B57702"/>
    <w:rsid w:val="00B57829"/>
    <w:rsid w:val="00B62403"/>
    <w:rsid w:val="00B65041"/>
    <w:rsid w:val="00B66434"/>
    <w:rsid w:val="00B6776A"/>
    <w:rsid w:val="00B70C46"/>
    <w:rsid w:val="00B7304D"/>
    <w:rsid w:val="00B77AEE"/>
    <w:rsid w:val="00B77C56"/>
    <w:rsid w:val="00B77C73"/>
    <w:rsid w:val="00B77D94"/>
    <w:rsid w:val="00B81E02"/>
    <w:rsid w:val="00B82C66"/>
    <w:rsid w:val="00B832ED"/>
    <w:rsid w:val="00B8635F"/>
    <w:rsid w:val="00B86A69"/>
    <w:rsid w:val="00B87202"/>
    <w:rsid w:val="00B90081"/>
    <w:rsid w:val="00B92CD0"/>
    <w:rsid w:val="00B94B87"/>
    <w:rsid w:val="00B96816"/>
    <w:rsid w:val="00B977FD"/>
    <w:rsid w:val="00BA1418"/>
    <w:rsid w:val="00BA3913"/>
    <w:rsid w:val="00BA5D86"/>
    <w:rsid w:val="00BA5DEB"/>
    <w:rsid w:val="00BA787D"/>
    <w:rsid w:val="00BB09BA"/>
    <w:rsid w:val="00BC2634"/>
    <w:rsid w:val="00BC382D"/>
    <w:rsid w:val="00BC4C47"/>
    <w:rsid w:val="00BD288C"/>
    <w:rsid w:val="00BD52D0"/>
    <w:rsid w:val="00BE05C1"/>
    <w:rsid w:val="00BE2771"/>
    <w:rsid w:val="00BE541A"/>
    <w:rsid w:val="00BE57D4"/>
    <w:rsid w:val="00BE6BC4"/>
    <w:rsid w:val="00BE76FE"/>
    <w:rsid w:val="00BF0924"/>
    <w:rsid w:val="00BF2695"/>
    <w:rsid w:val="00BF4656"/>
    <w:rsid w:val="00BF56BA"/>
    <w:rsid w:val="00C03B92"/>
    <w:rsid w:val="00C03BC0"/>
    <w:rsid w:val="00C03D80"/>
    <w:rsid w:val="00C04A46"/>
    <w:rsid w:val="00C05974"/>
    <w:rsid w:val="00C05E6C"/>
    <w:rsid w:val="00C07C52"/>
    <w:rsid w:val="00C07DC5"/>
    <w:rsid w:val="00C11F7A"/>
    <w:rsid w:val="00C12953"/>
    <w:rsid w:val="00C142BC"/>
    <w:rsid w:val="00C14816"/>
    <w:rsid w:val="00C1601E"/>
    <w:rsid w:val="00C2135D"/>
    <w:rsid w:val="00C23F77"/>
    <w:rsid w:val="00C2500C"/>
    <w:rsid w:val="00C25676"/>
    <w:rsid w:val="00C258FF"/>
    <w:rsid w:val="00C26DA2"/>
    <w:rsid w:val="00C27B03"/>
    <w:rsid w:val="00C3061B"/>
    <w:rsid w:val="00C32936"/>
    <w:rsid w:val="00C36E06"/>
    <w:rsid w:val="00C373D3"/>
    <w:rsid w:val="00C41DE3"/>
    <w:rsid w:val="00C4450D"/>
    <w:rsid w:val="00C53706"/>
    <w:rsid w:val="00C557A7"/>
    <w:rsid w:val="00C55CDB"/>
    <w:rsid w:val="00C56D48"/>
    <w:rsid w:val="00C57604"/>
    <w:rsid w:val="00C648A0"/>
    <w:rsid w:val="00C65A74"/>
    <w:rsid w:val="00C65A79"/>
    <w:rsid w:val="00C70B13"/>
    <w:rsid w:val="00C71759"/>
    <w:rsid w:val="00C71D7A"/>
    <w:rsid w:val="00C80993"/>
    <w:rsid w:val="00C81DCF"/>
    <w:rsid w:val="00C82184"/>
    <w:rsid w:val="00C8343F"/>
    <w:rsid w:val="00C83627"/>
    <w:rsid w:val="00C83681"/>
    <w:rsid w:val="00C8583C"/>
    <w:rsid w:val="00C859C8"/>
    <w:rsid w:val="00C868F8"/>
    <w:rsid w:val="00C86BC3"/>
    <w:rsid w:val="00C96791"/>
    <w:rsid w:val="00CA22FD"/>
    <w:rsid w:val="00CA4D98"/>
    <w:rsid w:val="00CA53DB"/>
    <w:rsid w:val="00CB0537"/>
    <w:rsid w:val="00CB1DB9"/>
    <w:rsid w:val="00CB216E"/>
    <w:rsid w:val="00CB2907"/>
    <w:rsid w:val="00CB304E"/>
    <w:rsid w:val="00CB7CF3"/>
    <w:rsid w:val="00CC23CD"/>
    <w:rsid w:val="00CC7832"/>
    <w:rsid w:val="00CD04A8"/>
    <w:rsid w:val="00CD05E6"/>
    <w:rsid w:val="00CD20BE"/>
    <w:rsid w:val="00CD228B"/>
    <w:rsid w:val="00CD261E"/>
    <w:rsid w:val="00CD296A"/>
    <w:rsid w:val="00CD5B8F"/>
    <w:rsid w:val="00CE11C7"/>
    <w:rsid w:val="00CE174E"/>
    <w:rsid w:val="00CE6315"/>
    <w:rsid w:val="00CE6791"/>
    <w:rsid w:val="00CE794B"/>
    <w:rsid w:val="00CF19AA"/>
    <w:rsid w:val="00CF3296"/>
    <w:rsid w:val="00CF3E26"/>
    <w:rsid w:val="00CF7A71"/>
    <w:rsid w:val="00D01543"/>
    <w:rsid w:val="00D06A7D"/>
    <w:rsid w:val="00D06DC0"/>
    <w:rsid w:val="00D07D80"/>
    <w:rsid w:val="00D07E6A"/>
    <w:rsid w:val="00D11A11"/>
    <w:rsid w:val="00D11B29"/>
    <w:rsid w:val="00D11F5F"/>
    <w:rsid w:val="00D17371"/>
    <w:rsid w:val="00D2169A"/>
    <w:rsid w:val="00D23039"/>
    <w:rsid w:val="00D24D14"/>
    <w:rsid w:val="00D27BF1"/>
    <w:rsid w:val="00D318E0"/>
    <w:rsid w:val="00D34069"/>
    <w:rsid w:val="00D36234"/>
    <w:rsid w:val="00D41D1D"/>
    <w:rsid w:val="00D41ED4"/>
    <w:rsid w:val="00D4400A"/>
    <w:rsid w:val="00D44AC8"/>
    <w:rsid w:val="00D4513F"/>
    <w:rsid w:val="00D50306"/>
    <w:rsid w:val="00D50E34"/>
    <w:rsid w:val="00D573F2"/>
    <w:rsid w:val="00D62F79"/>
    <w:rsid w:val="00D6496D"/>
    <w:rsid w:val="00D65414"/>
    <w:rsid w:val="00D666BE"/>
    <w:rsid w:val="00D66D60"/>
    <w:rsid w:val="00D66E50"/>
    <w:rsid w:val="00D672AC"/>
    <w:rsid w:val="00D75504"/>
    <w:rsid w:val="00D84980"/>
    <w:rsid w:val="00D84FFF"/>
    <w:rsid w:val="00D8686F"/>
    <w:rsid w:val="00D87773"/>
    <w:rsid w:val="00D90890"/>
    <w:rsid w:val="00D921B1"/>
    <w:rsid w:val="00D94DBD"/>
    <w:rsid w:val="00D9721A"/>
    <w:rsid w:val="00D97476"/>
    <w:rsid w:val="00DA0D72"/>
    <w:rsid w:val="00DA55D2"/>
    <w:rsid w:val="00DA6EDD"/>
    <w:rsid w:val="00DB315F"/>
    <w:rsid w:val="00DC29A4"/>
    <w:rsid w:val="00DC3AA0"/>
    <w:rsid w:val="00DC4416"/>
    <w:rsid w:val="00DD15C3"/>
    <w:rsid w:val="00DD3D14"/>
    <w:rsid w:val="00DD5F64"/>
    <w:rsid w:val="00DD5F99"/>
    <w:rsid w:val="00DD655E"/>
    <w:rsid w:val="00DE1DC6"/>
    <w:rsid w:val="00DE3348"/>
    <w:rsid w:val="00DE4D89"/>
    <w:rsid w:val="00DE5D43"/>
    <w:rsid w:val="00DE7BC5"/>
    <w:rsid w:val="00DF054B"/>
    <w:rsid w:val="00DF1E84"/>
    <w:rsid w:val="00DF21D7"/>
    <w:rsid w:val="00DF42B7"/>
    <w:rsid w:val="00DF65ED"/>
    <w:rsid w:val="00DF7D83"/>
    <w:rsid w:val="00E0047A"/>
    <w:rsid w:val="00E03727"/>
    <w:rsid w:val="00E05439"/>
    <w:rsid w:val="00E10A6E"/>
    <w:rsid w:val="00E1454F"/>
    <w:rsid w:val="00E160B0"/>
    <w:rsid w:val="00E175F3"/>
    <w:rsid w:val="00E22626"/>
    <w:rsid w:val="00E24CF2"/>
    <w:rsid w:val="00E251B0"/>
    <w:rsid w:val="00E27E5C"/>
    <w:rsid w:val="00E32BEA"/>
    <w:rsid w:val="00E33556"/>
    <w:rsid w:val="00E34CFC"/>
    <w:rsid w:val="00E350E0"/>
    <w:rsid w:val="00E4192A"/>
    <w:rsid w:val="00E4300F"/>
    <w:rsid w:val="00E4331F"/>
    <w:rsid w:val="00E43D48"/>
    <w:rsid w:val="00E4616D"/>
    <w:rsid w:val="00E467EE"/>
    <w:rsid w:val="00E477B8"/>
    <w:rsid w:val="00E479A5"/>
    <w:rsid w:val="00E50306"/>
    <w:rsid w:val="00E50752"/>
    <w:rsid w:val="00E50E45"/>
    <w:rsid w:val="00E526EA"/>
    <w:rsid w:val="00E55770"/>
    <w:rsid w:val="00E55BB3"/>
    <w:rsid w:val="00E57BCF"/>
    <w:rsid w:val="00E7161B"/>
    <w:rsid w:val="00E73859"/>
    <w:rsid w:val="00E77275"/>
    <w:rsid w:val="00E7736D"/>
    <w:rsid w:val="00E84604"/>
    <w:rsid w:val="00E84BC0"/>
    <w:rsid w:val="00E84BEB"/>
    <w:rsid w:val="00E86438"/>
    <w:rsid w:val="00E87D74"/>
    <w:rsid w:val="00E90C1B"/>
    <w:rsid w:val="00E92E42"/>
    <w:rsid w:val="00E93305"/>
    <w:rsid w:val="00E95617"/>
    <w:rsid w:val="00E970E3"/>
    <w:rsid w:val="00E97C63"/>
    <w:rsid w:val="00EA0D80"/>
    <w:rsid w:val="00EA1BA4"/>
    <w:rsid w:val="00EA5F2B"/>
    <w:rsid w:val="00EB2E43"/>
    <w:rsid w:val="00EB44E5"/>
    <w:rsid w:val="00EB4D08"/>
    <w:rsid w:val="00EB5FE5"/>
    <w:rsid w:val="00EC254D"/>
    <w:rsid w:val="00EC29A2"/>
    <w:rsid w:val="00EC334B"/>
    <w:rsid w:val="00EC6E87"/>
    <w:rsid w:val="00EC763E"/>
    <w:rsid w:val="00ED0FF9"/>
    <w:rsid w:val="00ED2C03"/>
    <w:rsid w:val="00ED3FA5"/>
    <w:rsid w:val="00EE07B7"/>
    <w:rsid w:val="00EE09AC"/>
    <w:rsid w:val="00EE1D98"/>
    <w:rsid w:val="00EE6492"/>
    <w:rsid w:val="00EE7689"/>
    <w:rsid w:val="00EE7CDF"/>
    <w:rsid w:val="00EF0838"/>
    <w:rsid w:val="00EF12F4"/>
    <w:rsid w:val="00EF316E"/>
    <w:rsid w:val="00EF346E"/>
    <w:rsid w:val="00EF57ED"/>
    <w:rsid w:val="00EF7166"/>
    <w:rsid w:val="00F00094"/>
    <w:rsid w:val="00F037D1"/>
    <w:rsid w:val="00F040B7"/>
    <w:rsid w:val="00F061C6"/>
    <w:rsid w:val="00F079C3"/>
    <w:rsid w:val="00F111F5"/>
    <w:rsid w:val="00F12997"/>
    <w:rsid w:val="00F1652B"/>
    <w:rsid w:val="00F16EF9"/>
    <w:rsid w:val="00F17785"/>
    <w:rsid w:val="00F1793A"/>
    <w:rsid w:val="00F201E2"/>
    <w:rsid w:val="00F2512E"/>
    <w:rsid w:val="00F25206"/>
    <w:rsid w:val="00F253A5"/>
    <w:rsid w:val="00F27A41"/>
    <w:rsid w:val="00F27CBF"/>
    <w:rsid w:val="00F3213D"/>
    <w:rsid w:val="00F32183"/>
    <w:rsid w:val="00F3377A"/>
    <w:rsid w:val="00F36378"/>
    <w:rsid w:val="00F42789"/>
    <w:rsid w:val="00F44698"/>
    <w:rsid w:val="00F4578F"/>
    <w:rsid w:val="00F467A3"/>
    <w:rsid w:val="00F51C83"/>
    <w:rsid w:val="00F55797"/>
    <w:rsid w:val="00F6231A"/>
    <w:rsid w:val="00F67771"/>
    <w:rsid w:val="00F73312"/>
    <w:rsid w:val="00F84A6C"/>
    <w:rsid w:val="00F85F62"/>
    <w:rsid w:val="00F900D2"/>
    <w:rsid w:val="00F938C6"/>
    <w:rsid w:val="00F93ED0"/>
    <w:rsid w:val="00FA3967"/>
    <w:rsid w:val="00FA4272"/>
    <w:rsid w:val="00FA6570"/>
    <w:rsid w:val="00FA69AE"/>
    <w:rsid w:val="00FA703D"/>
    <w:rsid w:val="00FA7EF5"/>
    <w:rsid w:val="00FB05AE"/>
    <w:rsid w:val="00FB3209"/>
    <w:rsid w:val="00FC02DB"/>
    <w:rsid w:val="00FC2C42"/>
    <w:rsid w:val="00FC4285"/>
    <w:rsid w:val="00FC4433"/>
    <w:rsid w:val="00FC45A0"/>
    <w:rsid w:val="00FC6ABB"/>
    <w:rsid w:val="00FD0D99"/>
    <w:rsid w:val="00FD133A"/>
    <w:rsid w:val="00FD16AC"/>
    <w:rsid w:val="00FD185C"/>
    <w:rsid w:val="00FD1898"/>
    <w:rsid w:val="00FE03D5"/>
    <w:rsid w:val="00FE0472"/>
    <w:rsid w:val="00FE0AE8"/>
    <w:rsid w:val="00FE125B"/>
    <w:rsid w:val="00FE37FE"/>
    <w:rsid w:val="00FE79A5"/>
    <w:rsid w:val="00FF0E15"/>
    <w:rsid w:val="00FF30CD"/>
    <w:rsid w:val="00FF4B9F"/>
    <w:rsid w:val="00FF53E0"/>
    <w:rsid w:val="00FF7DB0"/>
    <w:rsid w:val="3EF42CDD"/>
    <w:rsid w:val="DEDDE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6"/>
    <w:qFormat/>
    <w:uiPriority w:val="0"/>
    <w:pPr>
      <w:keepNext/>
      <w:keepLines/>
      <w:spacing w:before="340" w:after="330" w:line="578" w:lineRule="auto"/>
      <w:outlineLvl w:val="0"/>
    </w:pPr>
    <w:rPr>
      <w:rFonts w:ascii="Calibri" w:hAnsi="Calibri" w:eastAsia="宋体" w:cs="Times New Roman"/>
      <w:b/>
      <w:bCs/>
      <w:kern w:val="44"/>
      <w:sz w:val="44"/>
      <w:szCs w:val="44"/>
      <w:lang w:val="zh-CN" w:eastAsia="zh-CN"/>
    </w:rPr>
  </w:style>
  <w:style w:type="paragraph" w:styleId="3">
    <w:name w:val="heading 2"/>
    <w:basedOn w:val="1"/>
    <w:next w:val="1"/>
    <w:link w:val="5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qFormat/>
    <w:uiPriority w:val="0"/>
    <w:pPr>
      <w:keepNext/>
      <w:keepLines/>
      <w:spacing w:before="260" w:after="260" w:line="416" w:lineRule="auto"/>
      <w:outlineLvl w:val="2"/>
    </w:pPr>
    <w:rPr>
      <w:rFonts w:ascii="Times New Roman" w:hAnsi="Times New Roman" w:eastAsia="宋体" w:cs="Times New Roman"/>
      <w:b/>
      <w:bCs/>
      <w:sz w:val="32"/>
      <w:szCs w:val="32"/>
      <w:lang w:val="zh-CN" w:eastAsia="zh-CN"/>
    </w:rPr>
  </w:style>
  <w:style w:type="paragraph" w:styleId="5">
    <w:name w:val="heading 4"/>
    <w:basedOn w:val="1"/>
    <w:next w:val="1"/>
    <w:link w:val="59"/>
    <w:qFormat/>
    <w:uiPriority w:val="0"/>
    <w:pPr>
      <w:keepNext/>
      <w:keepLines/>
      <w:spacing w:before="280" w:after="290" w:line="376" w:lineRule="auto"/>
      <w:outlineLvl w:val="3"/>
    </w:pPr>
    <w:rPr>
      <w:rFonts w:ascii="Arial" w:hAnsi="Arial" w:eastAsia="黑体" w:cs="Times New Roman"/>
      <w:b/>
      <w:bCs/>
      <w:sz w:val="28"/>
      <w:szCs w:val="28"/>
      <w:lang w:val="zh-CN" w:eastAsia="zh-CN"/>
    </w:rPr>
  </w:style>
  <w:style w:type="paragraph" w:styleId="6">
    <w:name w:val="heading 5"/>
    <w:basedOn w:val="1"/>
    <w:next w:val="1"/>
    <w:link w:val="122"/>
    <w:semiHidden/>
    <w:unhideWhenUsed/>
    <w:qFormat/>
    <w:uiPriority w:val="9"/>
    <w:pPr>
      <w:keepNext/>
      <w:keepLines/>
      <w:spacing w:before="280" w:after="290" w:line="376" w:lineRule="auto"/>
      <w:outlineLvl w:val="4"/>
    </w:pPr>
    <w:rPr>
      <w:b/>
      <w:bCs/>
      <w:sz w:val="28"/>
      <w:szCs w:val="28"/>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7">
    <w:name w:val="List Number 2"/>
    <w:basedOn w:val="1"/>
    <w:qFormat/>
    <w:uiPriority w:val="0"/>
    <w:pPr>
      <w:tabs>
        <w:tab w:val="left" w:pos="780"/>
        <w:tab w:val="left" w:pos="1200"/>
      </w:tabs>
      <w:ind w:left="780" w:leftChars="200" w:hanging="360" w:hangingChars="200"/>
    </w:pPr>
    <w:rPr>
      <w:rFonts w:ascii="Times New Roman" w:hAnsi="Times New Roman" w:eastAsia="宋体" w:cs="Times New Roman"/>
      <w:szCs w:val="21"/>
    </w:rPr>
  </w:style>
  <w:style w:type="paragraph" w:styleId="8">
    <w:name w:val="Note Heading"/>
    <w:basedOn w:val="1"/>
    <w:next w:val="1"/>
    <w:link w:val="78"/>
    <w:qFormat/>
    <w:uiPriority w:val="0"/>
    <w:pPr>
      <w:jc w:val="center"/>
    </w:pPr>
    <w:rPr>
      <w:rFonts w:ascii="Times New Roman" w:hAnsi="Times New Roman" w:eastAsia="宋体" w:cs="Times New Roman"/>
      <w:szCs w:val="21"/>
      <w:lang w:val="zh-CN" w:eastAsia="zh-CN"/>
    </w:rPr>
  </w:style>
  <w:style w:type="paragraph" w:styleId="9">
    <w:name w:val="List Bullet 4"/>
    <w:basedOn w:val="1"/>
    <w:qFormat/>
    <w:uiPriority w:val="0"/>
    <w:pPr>
      <w:tabs>
        <w:tab w:val="left" w:pos="720"/>
        <w:tab w:val="left" w:pos="1620"/>
      </w:tabs>
      <w:ind w:left="1620" w:leftChars="600" w:hanging="720"/>
    </w:pPr>
    <w:rPr>
      <w:rFonts w:ascii="Times New Roman" w:hAnsi="Times New Roman" w:eastAsia="宋体" w:cs="Times New Roman"/>
      <w:szCs w:val="21"/>
    </w:rPr>
  </w:style>
  <w:style w:type="paragraph" w:styleId="10">
    <w:name w:val="List Number"/>
    <w:basedOn w:val="1"/>
    <w:qFormat/>
    <w:uiPriority w:val="0"/>
    <w:pPr>
      <w:tabs>
        <w:tab w:val="left" w:pos="360"/>
      </w:tabs>
      <w:ind w:left="360" w:hanging="360"/>
    </w:pPr>
    <w:rPr>
      <w:rFonts w:ascii="Times New Roman" w:hAnsi="Times New Roman" w:eastAsia="宋体" w:cs="Times New Roman"/>
      <w:szCs w:val="21"/>
    </w:rPr>
  </w:style>
  <w:style w:type="paragraph" w:styleId="11">
    <w:name w:val="Normal Indent"/>
    <w:basedOn w:val="1"/>
    <w:qFormat/>
    <w:uiPriority w:val="0"/>
    <w:pPr>
      <w:ind w:firstLine="420" w:firstLineChars="200"/>
    </w:pPr>
    <w:rPr>
      <w:rFonts w:ascii="Times New Roman" w:hAnsi="Times New Roman" w:eastAsia="宋体" w:cs="Times New Roman"/>
      <w:szCs w:val="21"/>
    </w:rPr>
  </w:style>
  <w:style w:type="paragraph" w:styleId="12">
    <w:name w:val="List Bullet"/>
    <w:basedOn w:val="1"/>
    <w:qFormat/>
    <w:uiPriority w:val="0"/>
    <w:pPr>
      <w:tabs>
        <w:tab w:val="left" w:pos="360"/>
        <w:tab w:val="left" w:pos="780"/>
      </w:tabs>
      <w:ind w:left="360" w:leftChars="200" w:hanging="360" w:hangingChars="200"/>
    </w:pPr>
    <w:rPr>
      <w:rFonts w:ascii="Times New Roman" w:hAnsi="Times New Roman" w:eastAsia="宋体" w:cs="Times New Roman"/>
      <w:szCs w:val="21"/>
    </w:rPr>
  </w:style>
  <w:style w:type="paragraph" w:styleId="13">
    <w:name w:val="Document Map"/>
    <w:basedOn w:val="1"/>
    <w:link w:val="88"/>
    <w:qFormat/>
    <w:uiPriority w:val="0"/>
    <w:rPr>
      <w:rFonts w:ascii="宋体" w:hAnsi="Times New Roman" w:eastAsia="宋体" w:cs="Times New Roman"/>
      <w:sz w:val="18"/>
      <w:szCs w:val="18"/>
      <w:lang w:val="zh-CN" w:eastAsia="zh-CN"/>
    </w:rPr>
  </w:style>
  <w:style w:type="paragraph" w:styleId="14">
    <w:name w:val="toa heading"/>
    <w:basedOn w:val="1"/>
    <w:next w:val="1"/>
    <w:qFormat/>
    <w:uiPriority w:val="0"/>
    <w:pPr>
      <w:spacing w:before="120"/>
    </w:pPr>
    <w:rPr>
      <w:rFonts w:ascii="Arial" w:hAnsi="Arial" w:eastAsia="宋体" w:cs="Times New Roman"/>
      <w:b/>
      <w:bCs/>
      <w:szCs w:val="21"/>
    </w:rPr>
  </w:style>
  <w:style w:type="paragraph" w:styleId="15">
    <w:name w:val="annotation text"/>
    <w:basedOn w:val="1"/>
    <w:link w:val="67"/>
    <w:unhideWhenUsed/>
    <w:qFormat/>
    <w:uiPriority w:val="99"/>
    <w:pPr>
      <w:jc w:val="left"/>
    </w:pPr>
    <w:rPr>
      <w:rFonts w:ascii="Calibri" w:hAnsi="Calibri" w:eastAsia="宋体" w:cs="Times New Roman"/>
    </w:rPr>
  </w:style>
  <w:style w:type="paragraph" w:styleId="16">
    <w:name w:val="Salutation"/>
    <w:basedOn w:val="1"/>
    <w:next w:val="1"/>
    <w:link w:val="75"/>
    <w:qFormat/>
    <w:uiPriority w:val="0"/>
    <w:rPr>
      <w:rFonts w:ascii="Times New Roman" w:hAnsi="Times New Roman" w:eastAsia="宋体" w:cs="Times New Roman"/>
      <w:szCs w:val="21"/>
      <w:lang w:val="zh-CN" w:eastAsia="zh-CN"/>
    </w:rPr>
  </w:style>
  <w:style w:type="paragraph" w:styleId="17">
    <w:name w:val="Body Text 3"/>
    <w:basedOn w:val="1"/>
    <w:link w:val="99"/>
    <w:qFormat/>
    <w:uiPriority w:val="0"/>
    <w:pPr>
      <w:spacing w:before="100" w:after="20" w:line="440" w:lineRule="exact"/>
    </w:pPr>
    <w:rPr>
      <w:rFonts w:ascii="楷体_GB2312" w:hAnsi="Times New Roman" w:eastAsia="楷体_GB2312" w:cs="Times New Roman"/>
      <w:color w:val="000000"/>
      <w:sz w:val="24"/>
    </w:rPr>
  </w:style>
  <w:style w:type="paragraph" w:styleId="18">
    <w:name w:val="List Bullet 3"/>
    <w:basedOn w:val="1"/>
    <w:qFormat/>
    <w:uiPriority w:val="0"/>
    <w:pPr>
      <w:tabs>
        <w:tab w:val="left" w:pos="1200"/>
        <w:tab w:val="left" w:pos="1620"/>
      </w:tabs>
      <w:ind w:left="1200" w:leftChars="400" w:hanging="360" w:hangingChars="200"/>
    </w:pPr>
    <w:rPr>
      <w:rFonts w:ascii="Times New Roman" w:hAnsi="Times New Roman" w:eastAsia="宋体" w:cs="Times New Roman"/>
      <w:szCs w:val="21"/>
    </w:rPr>
  </w:style>
  <w:style w:type="paragraph" w:styleId="19">
    <w:name w:val="Body Text"/>
    <w:basedOn w:val="1"/>
    <w:link w:val="83"/>
    <w:qFormat/>
    <w:uiPriority w:val="0"/>
    <w:pPr>
      <w:spacing w:after="120"/>
    </w:pPr>
    <w:rPr>
      <w:rFonts w:ascii="Times New Roman" w:hAnsi="Times New Roman" w:eastAsia="宋体" w:cs="Times New Roman"/>
      <w:szCs w:val="21"/>
      <w:lang w:val="zh-CN" w:eastAsia="zh-CN"/>
    </w:rPr>
  </w:style>
  <w:style w:type="paragraph" w:styleId="20">
    <w:name w:val="Body Text Indent"/>
    <w:basedOn w:val="1"/>
    <w:link w:val="95"/>
    <w:qFormat/>
    <w:uiPriority w:val="0"/>
    <w:pPr>
      <w:adjustRightInd w:val="0"/>
      <w:spacing w:line="300" w:lineRule="auto"/>
      <w:ind w:left="898" w:firstLine="2"/>
      <w:jc w:val="left"/>
      <w:textAlignment w:val="baseline"/>
    </w:pPr>
    <w:rPr>
      <w:rFonts w:ascii="仿宋_GB2312" w:hAnsi="MS Sans Serif" w:eastAsia="仿宋_GB2312" w:cs="Times New Roman"/>
      <w:kern w:val="0"/>
      <w:sz w:val="28"/>
      <w:szCs w:val="20"/>
    </w:rPr>
  </w:style>
  <w:style w:type="paragraph" w:styleId="21">
    <w:name w:val="List Number 3"/>
    <w:basedOn w:val="1"/>
    <w:qFormat/>
    <w:uiPriority w:val="0"/>
    <w:pPr>
      <w:tabs>
        <w:tab w:val="left" w:pos="1200"/>
        <w:tab w:val="left" w:pos="1620"/>
      </w:tabs>
      <w:ind w:left="1200" w:leftChars="400" w:hanging="360" w:hangingChars="200"/>
    </w:pPr>
    <w:rPr>
      <w:rFonts w:ascii="Times New Roman" w:hAnsi="Times New Roman" w:eastAsia="宋体" w:cs="Times New Roman"/>
      <w:szCs w:val="21"/>
    </w:rPr>
  </w:style>
  <w:style w:type="paragraph" w:styleId="22">
    <w:name w:val="Block Text"/>
    <w:basedOn w:val="1"/>
    <w:qFormat/>
    <w:uiPriority w:val="0"/>
    <w:pPr>
      <w:spacing w:after="120"/>
      <w:ind w:left="1440" w:leftChars="700" w:right="1440" w:rightChars="700"/>
    </w:pPr>
    <w:rPr>
      <w:rFonts w:ascii="Times New Roman" w:hAnsi="Times New Roman" w:eastAsia="宋体" w:cs="Times New Roman"/>
      <w:szCs w:val="21"/>
    </w:rPr>
  </w:style>
  <w:style w:type="paragraph" w:styleId="23">
    <w:name w:val="List Bullet 2"/>
    <w:basedOn w:val="1"/>
    <w:qFormat/>
    <w:uiPriority w:val="0"/>
    <w:pPr>
      <w:tabs>
        <w:tab w:val="left" w:pos="780"/>
        <w:tab w:val="left" w:pos="1200"/>
      </w:tabs>
      <w:ind w:left="780" w:leftChars="200" w:hanging="360" w:hangingChars="200"/>
    </w:pPr>
    <w:rPr>
      <w:rFonts w:ascii="Times New Roman" w:hAnsi="Times New Roman" w:eastAsia="宋体" w:cs="Times New Roman"/>
      <w:szCs w:val="21"/>
    </w:rPr>
  </w:style>
  <w:style w:type="paragraph" w:styleId="24">
    <w:name w:val="toc 3"/>
    <w:basedOn w:val="1"/>
    <w:next w:val="1"/>
    <w:qFormat/>
    <w:uiPriority w:val="39"/>
    <w:pPr>
      <w:tabs>
        <w:tab w:val="left" w:pos="1680"/>
        <w:tab w:val="right" w:leader="dot" w:pos="8296"/>
      </w:tabs>
      <w:ind w:left="840" w:leftChars="400"/>
    </w:pPr>
    <w:rPr>
      <w:rFonts w:ascii="Times New Roman" w:hAnsi="Times New Roman" w:eastAsia="宋体" w:cs="Times New Roman"/>
      <w:szCs w:val="24"/>
    </w:rPr>
  </w:style>
  <w:style w:type="paragraph" w:styleId="25">
    <w:name w:val="Plain Text"/>
    <w:basedOn w:val="1"/>
    <w:link w:val="82"/>
    <w:qFormat/>
    <w:uiPriority w:val="0"/>
    <w:rPr>
      <w:rFonts w:ascii="宋体" w:hAnsi="Courier New" w:eastAsia="宋体" w:cs="Times New Roman"/>
      <w:szCs w:val="21"/>
      <w:lang w:val="zh-CN" w:eastAsia="zh-CN"/>
    </w:rPr>
  </w:style>
  <w:style w:type="paragraph" w:styleId="26">
    <w:name w:val="List Bullet 5"/>
    <w:basedOn w:val="1"/>
    <w:qFormat/>
    <w:uiPriority w:val="0"/>
    <w:pPr>
      <w:tabs>
        <w:tab w:val="left" w:pos="2040"/>
      </w:tabs>
      <w:ind w:left="2040" w:leftChars="800" w:hanging="360" w:hangingChars="200"/>
    </w:pPr>
    <w:rPr>
      <w:rFonts w:ascii="Times New Roman" w:hAnsi="Times New Roman" w:eastAsia="宋体" w:cs="Times New Roman"/>
      <w:szCs w:val="21"/>
    </w:rPr>
  </w:style>
  <w:style w:type="paragraph" w:styleId="27">
    <w:name w:val="List Number 4"/>
    <w:basedOn w:val="1"/>
    <w:qFormat/>
    <w:uiPriority w:val="0"/>
    <w:pPr>
      <w:tabs>
        <w:tab w:val="left" w:pos="1620"/>
        <w:tab w:val="left" w:pos="2040"/>
      </w:tabs>
      <w:ind w:left="1620" w:leftChars="600" w:hanging="360" w:hangingChars="200"/>
    </w:pPr>
    <w:rPr>
      <w:rFonts w:ascii="Times New Roman" w:hAnsi="Times New Roman" w:eastAsia="宋体" w:cs="Times New Roman"/>
      <w:szCs w:val="21"/>
    </w:rPr>
  </w:style>
  <w:style w:type="paragraph" w:styleId="28">
    <w:name w:val="Date"/>
    <w:basedOn w:val="1"/>
    <w:next w:val="1"/>
    <w:link w:val="79"/>
    <w:qFormat/>
    <w:uiPriority w:val="0"/>
    <w:pPr>
      <w:ind w:left="100" w:leftChars="2500"/>
    </w:pPr>
    <w:rPr>
      <w:rFonts w:ascii="楷体_GB2312" w:hAnsi="Times New Roman" w:eastAsia="楷体_GB2312" w:cs="Times New Roman"/>
      <w:sz w:val="28"/>
      <w:szCs w:val="24"/>
      <w:lang w:val="zh-CN" w:eastAsia="zh-CN"/>
    </w:rPr>
  </w:style>
  <w:style w:type="paragraph" w:styleId="29">
    <w:name w:val="Body Text Indent 2"/>
    <w:basedOn w:val="1"/>
    <w:link w:val="94"/>
    <w:qFormat/>
    <w:uiPriority w:val="0"/>
    <w:pPr>
      <w:adjustRightInd w:val="0"/>
      <w:spacing w:line="360" w:lineRule="auto"/>
      <w:ind w:firstLine="540"/>
      <w:textAlignment w:val="baseline"/>
    </w:pPr>
    <w:rPr>
      <w:rFonts w:ascii="仿宋_GB2312" w:hAnsi="Times New Roman" w:eastAsia="仿宋_GB2312" w:cs="Times New Roman"/>
      <w:kern w:val="0"/>
      <w:sz w:val="24"/>
      <w:szCs w:val="20"/>
    </w:rPr>
  </w:style>
  <w:style w:type="paragraph" w:styleId="30">
    <w:name w:val="Balloon Text"/>
    <w:basedOn w:val="1"/>
    <w:link w:val="65"/>
    <w:unhideWhenUsed/>
    <w:qFormat/>
    <w:uiPriority w:val="0"/>
    <w:rPr>
      <w:rFonts w:ascii="Calibri" w:hAnsi="Calibri" w:eastAsia="宋体" w:cs="Times New Roman"/>
      <w:sz w:val="18"/>
      <w:szCs w:val="18"/>
    </w:rPr>
  </w:style>
  <w:style w:type="paragraph" w:styleId="31">
    <w:name w:val="footer"/>
    <w:basedOn w:val="1"/>
    <w:link w:val="61"/>
    <w:unhideWhenUsed/>
    <w:qFormat/>
    <w:uiPriority w:val="99"/>
    <w:pPr>
      <w:tabs>
        <w:tab w:val="center" w:pos="4153"/>
        <w:tab w:val="right" w:pos="8306"/>
      </w:tabs>
      <w:snapToGrid w:val="0"/>
      <w:jc w:val="left"/>
    </w:pPr>
    <w:rPr>
      <w:sz w:val="18"/>
      <w:szCs w:val="18"/>
    </w:rPr>
  </w:style>
  <w:style w:type="paragraph" w:styleId="32">
    <w:name w:val="envelope return"/>
    <w:basedOn w:val="1"/>
    <w:qFormat/>
    <w:uiPriority w:val="0"/>
    <w:pPr>
      <w:snapToGrid w:val="0"/>
    </w:pPr>
    <w:rPr>
      <w:rFonts w:ascii="Arial" w:hAnsi="Arial" w:eastAsia="宋体" w:cs="Arial"/>
      <w:szCs w:val="21"/>
    </w:rPr>
  </w:style>
  <w:style w:type="paragraph" w:styleId="33">
    <w:name w:val="header"/>
    <w:basedOn w:val="1"/>
    <w:link w:val="60"/>
    <w:unhideWhenUsed/>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right" w:leader="dot" w:pos="9628"/>
      </w:tabs>
      <w:jc w:val="left"/>
    </w:pPr>
    <w:rPr>
      <w:rFonts w:ascii="黑体" w:hAnsi="Times New Roman" w:eastAsia="黑体" w:cs="Times New Roman"/>
      <w:sz w:val="44"/>
      <w:szCs w:val="44"/>
    </w:rPr>
  </w:style>
  <w:style w:type="paragraph" w:styleId="35">
    <w:name w:val="Subtitle"/>
    <w:basedOn w:val="1"/>
    <w:next w:val="1"/>
    <w:link w:val="117"/>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36">
    <w:name w:val="List Number 5"/>
    <w:basedOn w:val="1"/>
    <w:qFormat/>
    <w:uiPriority w:val="0"/>
    <w:pPr>
      <w:tabs>
        <w:tab w:val="left" w:pos="1200"/>
        <w:tab w:val="left" w:pos="2040"/>
      </w:tabs>
      <w:ind w:left="2040" w:leftChars="800" w:hanging="360" w:hangingChars="200"/>
    </w:pPr>
    <w:rPr>
      <w:rFonts w:ascii="Times New Roman" w:hAnsi="Times New Roman" w:eastAsia="宋体" w:cs="Times New Roman"/>
      <w:szCs w:val="21"/>
    </w:rPr>
  </w:style>
  <w:style w:type="paragraph" w:styleId="37">
    <w:name w:val="List"/>
    <w:basedOn w:val="1"/>
    <w:qFormat/>
    <w:uiPriority w:val="0"/>
    <w:pPr>
      <w:ind w:left="200" w:hanging="200" w:hangingChars="200"/>
    </w:pPr>
    <w:rPr>
      <w:rFonts w:ascii="Times New Roman" w:hAnsi="Times New Roman" w:eastAsia="宋体" w:cs="Times New Roman"/>
      <w:szCs w:val="21"/>
    </w:rPr>
  </w:style>
  <w:style w:type="paragraph" w:styleId="38">
    <w:name w:val="footnote text"/>
    <w:basedOn w:val="1"/>
    <w:link w:val="90"/>
    <w:qFormat/>
    <w:uiPriority w:val="0"/>
    <w:pPr>
      <w:snapToGrid w:val="0"/>
      <w:jc w:val="left"/>
    </w:pPr>
    <w:rPr>
      <w:rFonts w:ascii="Times New Roman" w:hAnsi="Times New Roman" w:eastAsia="宋体" w:cs="Times New Roman"/>
      <w:sz w:val="18"/>
      <w:szCs w:val="18"/>
      <w:lang w:val="zh-CN" w:eastAsia="zh-CN"/>
    </w:rPr>
  </w:style>
  <w:style w:type="paragraph" w:styleId="39">
    <w:name w:val="Body Text Indent 3"/>
    <w:basedOn w:val="1"/>
    <w:link w:val="97"/>
    <w:qFormat/>
    <w:uiPriority w:val="0"/>
    <w:pPr>
      <w:spacing w:line="180" w:lineRule="atLeast"/>
      <w:ind w:firstLine="538" w:firstLineChars="192"/>
    </w:pPr>
    <w:rPr>
      <w:rFonts w:ascii="楷体_GB2312" w:hAnsi="Times New Roman" w:eastAsia="楷体_GB2312" w:cs="Times New Roman"/>
      <w:sz w:val="28"/>
      <w:szCs w:val="20"/>
    </w:rPr>
  </w:style>
  <w:style w:type="paragraph" w:styleId="40">
    <w:name w:val="toc 2"/>
    <w:basedOn w:val="1"/>
    <w:next w:val="1"/>
    <w:qFormat/>
    <w:uiPriority w:val="39"/>
    <w:pPr>
      <w:tabs>
        <w:tab w:val="right" w:leader="dot" w:pos="9628"/>
      </w:tabs>
      <w:ind w:left="420" w:leftChars="200"/>
    </w:pPr>
    <w:rPr>
      <w:rFonts w:ascii="Times New Roman" w:hAnsi="Times New Roman" w:eastAsia="宋体" w:cs="Times New Roman"/>
      <w:szCs w:val="24"/>
    </w:rPr>
  </w:style>
  <w:style w:type="paragraph" w:styleId="41">
    <w:name w:val="Body Text 2"/>
    <w:basedOn w:val="1"/>
    <w:link w:val="98"/>
    <w:qFormat/>
    <w:uiPriority w:val="0"/>
    <w:pPr>
      <w:tabs>
        <w:tab w:val="left" w:pos="9000"/>
      </w:tabs>
      <w:spacing w:before="100" w:after="20" w:line="440" w:lineRule="exact"/>
      <w:ind w:right="-176"/>
    </w:pPr>
    <w:rPr>
      <w:rFonts w:ascii="楷体_GB2312" w:hAnsi="Times New Roman" w:eastAsia="楷体_GB2312" w:cs="Times New Roman"/>
      <w:sz w:val="28"/>
      <w:szCs w:val="20"/>
    </w:rPr>
  </w:style>
  <w:style w:type="paragraph" w:styleId="42">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semiHidden/>
    <w:qFormat/>
    <w:uiPriority w:val="0"/>
    <w:pPr>
      <w:widowControl/>
      <w:ind w:firstLine="420" w:firstLineChars="200"/>
      <w:jc w:val="left"/>
    </w:pPr>
    <w:rPr>
      <w:rFonts w:ascii="宋体" w:hAnsi="宋体" w:eastAsia="宋体" w:cs="Times New Roman"/>
      <w:color w:val="000000"/>
      <w:kern w:val="0"/>
      <w:szCs w:val="21"/>
    </w:rPr>
  </w:style>
  <w:style w:type="paragraph" w:styleId="44">
    <w:name w:val="Title"/>
    <w:basedOn w:val="1"/>
    <w:link w:val="76"/>
    <w:qFormat/>
    <w:uiPriority w:val="0"/>
    <w:pPr>
      <w:spacing w:before="240" w:after="60"/>
      <w:jc w:val="center"/>
      <w:outlineLvl w:val="0"/>
    </w:pPr>
    <w:rPr>
      <w:rFonts w:ascii="Arial" w:hAnsi="Arial" w:cs="Arial"/>
      <w:b/>
      <w:bCs/>
      <w:sz w:val="32"/>
      <w:szCs w:val="32"/>
    </w:rPr>
  </w:style>
  <w:style w:type="paragraph" w:styleId="45">
    <w:name w:val="annotation subject"/>
    <w:basedOn w:val="15"/>
    <w:next w:val="15"/>
    <w:link w:val="68"/>
    <w:unhideWhenUsed/>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b/>
      <w:bCs/>
    </w:rPr>
  </w:style>
  <w:style w:type="character" w:styleId="50">
    <w:name w:val="page number"/>
    <w:qFormat/>
    <w:uiPriority w:val="0"/>
    <w:rPr>
      <w:rFonts w:eastAsia="宋体"/>
      <w:kern w:val="2"/>
      <w:sz w:val="24"/>
      <w:szCs w:val="24"/>
      <w:lang w:val="en-US" w:eastAsia="zh-CN" w:bidi="ar-SA"/>
    </w:rPr>
  </w:style>
  <w:style w:type="character" w:styleId="51">
    <w:name w:val="FollowedHyperlink"/>
    <w:qFormat/>
    <w:uiPriority w:val="0"/>
    <w:rPr>
      <w:rFonts w:eastAsia="宋体"/>
      <w:color w:val="800080"/>
      <w:kern w:val="2"/>
      <w:sz w:val="24"/>
      <w:szCs w:val="24"/>
      <w:u w:val="single"/>
      <w:lang w:val="en-US" w:eastAsia="zh-CN" w:bidi="ar-SA"/>
    </w:rPr>
  </w:style>
  <w:style w:type="character" w:styleId="52">
    <w:name w:val="Emphasis"/>
    <w:basedOn w:val="48"/>
    <w:qFormat/>
    <w:uiPriority w:val="20"/>
    <w:rPr>
      <w:i/>
      <w:iCs/>
    </w:rPr>
  </w:style>
  <w:style w:type="character" w:styleId="53">
    <w:name w:val="Hyperlink"/>
    <w:qFormat/>
    <w:uiPriority w:val="0"/>
    <w:rPr>
      <w:rFonts w:eastAsia="宋体"/>
      <w:color w:val="0000FF"/>
      <w:kern w:val="2"/>
      <w:sz w:val="24"/>
      <w:szCs w:val="24"/>
      <w:u w:val="single"/>
      <w:lang w:val="en-US" w:eastAsia="zh-CN" w:bidi="ar-SA"/>
    </w:rPr>
  </w:style>
  <w:style w:type="character" w:styleId="54">
    <w:name w:val="annotation reference"/>
    <w:basedOn w:val="48"/>
    <w:unhideWhenUsed/>
    <w:qFormat/>
    <w:uiPriority w:val="99"/>
    <w:rPr>
      <w:sz w:val="21"/>
      <w:szCs w:val="21"/>
    </w:rPr>
  </w:style>
  <w:style w:type="character" w:styleId="55">
    <w:name w:val="footnote reference"/>
    <w:qFormat/>
    <w:uiPriority w:val="0"/>
    <w:rPr>
      <w:rFonts w:eastAsia="宋体"/>
      <w:kern w:val="2"/>
      <w:sz w:val="24"/>
      <w:szCs w:val="24"/>
      <w:vertAlign w:val="superscript"/>
      <w:lang w:val="en-US" w:eastAsia="zh-CN" w:bidi="ar-SA"/>
    </w:rPr>
  </w:style>
  <w:style w:type="character" w:customStyle="1" w:styleId="56">
    <w:name w:val="标题 1 Char"/>
    <w:basedOn w:val="48"/>
    <w:link w:val="2"/>
    <w:qFormat/>
    <w:uiPriority w:val="0"/>
    <w:rPr>
      <w:rFonts w:ascii="Calibri" w:hAnsi="Calibri" w:eastAsia="宋体" w:cs="Times New Roman"/>
      <w:b/>
      <w:bCs/>
      <w:kern w:val="44"/>
      <w:sz w:val="44"/>
      <w:szCs w:val="44"/>
      <w:lang w:val="zh-CN" w:eastAsia="zh-CN"/>
    </w:rPr>
  </w:style>
  <w:style w:type="character" w:customStyle="1" w:styleId="57">
    <w:name w:val="标题 2 Char"/>
    <w:basedOn w:val="48"/>
    <w:link w:val="3"/>
    <w:qFormat/>
    <w:uiPriority w:val="0"/>
    <w:rPr>
      <w:rFonts w:asciiTheme="majorHAnsi" w:hAnsiTheme="majorHAnsi" w:eastAsiaTheme="majorEastAsia" w:cstheme="majorBidi"/>
      <w:b/>
      <w:bCs/>
      <w:sz w:val="32"/>
      <w:szCs w:val="32"/>
    </w:rPr>
  </w:style>
  <w:style w:type="character" w:customStyle="1" w:styleId="58">
    <w:name w:val="标题 3 Char1"/>
    <w:link w:val="4"/>
    <w:qFormat/>
    <w:uiPriority w:val="0"/>
    <w:rPr>
      <w:rFonts w:ascii="Times New Roman" w:hAnsi="Times New Roman" w:eastAsia="宋体" w:cs="Times New Roman"/>
      <w:b/>
      <w:bCs/>
      <w:sz w:val="32"/>
      <w:szCs w:val="32"/>
      <w:lang w:val="zh-CN" w:eastAsia="zh-CN"/>
    </w:rPr>
  </w:style>
  <w:style w:type="character" w:customStyle="1" w:styleId="59">
    <w:name w:val="标题 4 Char"/>
    <w:basedOn w:val="48"/>
    <w:link w:val="5"/>
    <w:qFormat/>
    <w:uiPriority w:val="0"/>
    <w:rPr>
      <w:rFonts w:ascii="Arial" w:hAnsi="Arial" w:eastAsia="黑体" w:cs="Times New Roman"/>
      <w:b/>
      <w:bCs/>
      <w:sz w:val="28"/>
      <w:szCs w:val="28"/>
      <w:lang w:val="zh-CN" w:eastAsia="zh-CN"/>
    </w:rPr>
  </w:style>
  <w:style w:type="character" w:customStyle="1" w:styleId="60">
    <w:name w:val="页眉 Char"/>
    <w:basedOn w:val="48"/>
    <w:link w:val="33"/>
    <w:qFormat/>
    <w:uiPriority w:val="0"/>
    <w:rPr>
      <w:sz w:val="18"/>
      <w:szCs w:val="18"/>
    </w:rPr>
  </w:style>
  <w:style w:type="character" w:customStyle="1" w:styleId="61">
    <w:name w:val="页脚 Char"/>
    <w:basedOn w:val="48"/>
    <w:link w:val="31"/>
    <w:qFormat/>
    <w:uiPriority w:val="99"/>
    <w:rPr>
      <w:sz w:val="18"/>
      <w:szCs w:val="18"/>
    </w:rPr>
  </w:style>
  <w:style w:type="character" w:customStyle="1" w:styleId="62">
    <w:name w:val="标题 3 Char"/>
    <w:basedOn w:val="48"/>
    <w:qFormat/>
    <w:uiPriority w:val="0"/>
    <w:rPr>
      <w:b/>
      <w:bCs/>
      <w:sz w:val="32"/>
      <w:szCs w:val="32"/>
    </w:rPr>
  </w:style>
  <w:style w:type="paragraph" w:customStyle="1" w:styleId="63">
    <w:name w:val="正文0"/>
    <w:basedOn w:val="1"/>
    <w:qFormat/>
    <w:uiPriority w:val="99"/>
    <w:pPr>
      <w:autoSpaceDE w:val="0"/>
      <w:autoSpaceDN w:val="0"/>
      <w:adjustRightInd w:val="0"/>
      <w:spacing w:line="484" w:lineRule="atLeast"/>
      <w:ind w:firstLine="491"/>
      <w:textAlignment w:val="center"/>
    </w:pPr>
    <w:rPr>
      <w:rFonts w:ascii="方正书宋_GBK" w:hAnsi="Times New Roman" w:eastAsia="方正书宋_GBK" w:cs="方正书宋_GBK"/>
      <w:color w:val="000000"/>
      <w:kern w:val="0"/>
      <w:sz w:val="24"/>
      <w:szCs w:val="24"/>
      <w:lang w:val="zh-CN"/>
    </w:rPr>
  </w:style>
  <w:style w:type="paragraph" w:styleId="64">
    <w:name w:val="List Paragraph"/>
    <w:basedOn w:val="1"/>
    <w:qFormat/>
    <w:uiPriority w:val="34"/>
    <w:pPr>
      <w:ind w:firstLine="420" w:firstLineChars="200"/>
    </w:pPr>
    <w:rPr>
      <w:rFonts w:ascii="Calibri" w:hAnsi="Calibri" w:eastAsia="宋体" w:cs="Times New Roman"/>
    </w:rPr>
  </w:style>
  <w:style w:type="character" w:customStyle="1" w:styleId="65">
    <w:name w:val="批注框文本 Char"/>
    <w:basedOn w:val="48"/>
    <w:link w:val="30"/>
    <w:qFormat/>
    <w:uiPriority w:val="0"/>
    <w:rPr>
      <w:rFonts w:ascii="Calibri" w:hAnsi="Calibri" w:eastAsia="宋体" w:cs="Times New Roman"/>
      <w:sz w:val="18"/>
      <w:szCs w:val="18"/>
    </w:rPr>
  </w:style>
  <w:style w:type="paragraph" w:styleId="66">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批注文字 Char"/>
    <w:basedOn w:val="48"/>
    <w:link w:val="15"/>
    <w:qFormat/>
    <w:uiPriority w:val="99"/>
    <w:rPr>
      <w:rFonts w:ascii="Calibri" w:hAnsi="Calibri" w:eastAsia="宋体" w:cs="Times New Roman"/>
    </w:rPr>
  </w:style>
  <w:style w:type="character" w:customStyle="1" w:styleId="68">
    <w:name w:val="批注主题 Char"/>
    <w:basedOn w:val="67"/>
    <w:link w:val="45"/>
    <w:qFormat/>
    <w:uiPriority w:val="0"/>
    <w:rPr>
      <w:rFonts w:ascii="Calibri" w:hAnsi="Calibri" w:eastAsia="宋体" w:cs="Times New Roman"/>
      <w:b/>
      <w:bCs/>
    </w:rPr>
  </w:style>
  <w:style w:type="paragraph" w:customStyle="1" w:styleId="69">
    <w:name w:val="Revision"/>
    <w:hidden/>
    <w:qFormat/>
    <w:uiPriority w:val="99"/>
    <w:rPr>
      <w:rFonts w:ascii="Calibri" w:hAnsi="Calibri" w:eastAsia="宋体" w:cs="Times New Roman"/>
      <w:kern w:val="2"/>
      <w:sz w:val="21"/>
      <w:szCs w:val="22"/>
      <w:lang w:val="en-US" w:eastAsia="zh-CN" w:bidi="ar-SA"/>
    </w:rPr>
  </w:style>
  <w:style w:type="paragraph" w:customStyle="1" w:styleId="70">
    <w:name w:val="Default"/>
    <w:qFormat/>
    <w:uiPriority w:val="0"/>
    <w:pPr>
      <w:widowControl w:val="0"/>
      <w:autoSpaceDE w:val="0"/>
      <w:autoSpaceDN w:val="0"/>
      <w:adjustRightInd w:val="0"/>
    </w:pPr>
    <w:rPr>
      <w:rFonts w:ascii="FangSong" w:hAnsi="Calibri" w:eastAsia="FangSong" w:cs="FangSong"/>
      <w:color w:val="000000"/>
      <w:kern w:val="0"/>
      <w:sz w:val="24"/>
      <w:szCs w:val="24"/>
      <w:lang w:val="en-US" w:eastAsia="zh-CN" w:bidi="ar-SA"/>
    </w:rPr>
  </w:style>
  <w:style w:type="paragraph" w:customStyle="1" w:styleId="71">
    <w:name w:val="Char Char Char Char Char Char Char"/>
    <w:basedOn w:val="1"/>
    <w:qFormat/>
    <w:uiPriority w:val="0"/>
    <w:pPr>
      <w:tabs>
        <w:tab w:val="left" w:pos="360"/>
      </w:tabs>
      <w:ind w:left="360" w:hanging="360"/>
    </w:pPr>
    <w:rPr>
      <w:rFonts w:ascii="Times New Roman" w:hAnsi="Times New Roman" w:eastAsia="宋体" w:cs="Times New Roman"/>
      <w:sz w:val="24"/>
      <w:szCs w:val="24"/>
    </w:rPr>
  </w:style>
  <w:style w:type="character" w:customStyle="1" w:styleId="72">
    <w:name w:val="cap"/>
    <w:qFormat/>
    <w:uiPriority w:val="0"/>
    <w:rPr>
      <w:rFonts w:eastAsia="宋体"/>
      <w:kern w:val="2"/>
      <w:sz w:val="24"/>
      <w:szCs w:val="24"/>
      <w:lang w:val="en-US" w:eastAsia="zh-CN" w:bidi="ar-SA"/>
    </w:rPr>
  </w:style>
  <w:style w:type="character" w:customStyle="1" w:styleId="73">
    <w:name w:val="notnullcss1"/>
    <w:qFormat/>
    <w:uiPriority w:val="0"/>
    <w:rPr>
      <w:rFonts w:eastAsia="宋体"/>
      <w:color w:val="FF0000"/>
      <w:kern w:val="2"/>
      <w:sz w:val="24"/>
      <w:szCs w:val="24"/>
      <w:lang w:val="en-US" w:eastAsia="zh-CN" w:bidi="ar-SA"/>
    </w:rPr>
  </w:style>
  <w:style w:type="paragraph" w:customStyle="1" w:styleId="74">
    <w:name w:val="xl24"/>
    <w:basedOn w:val="1"/>
    <w:qFormat/>
    <w:uiPriority w:val="0"/>
    <w:pPr>
      <w:widowControl/>
      <w:pBdr>
        <w:bottom w:val="single" w:color="000000" w:sz="12" w:space="0"/>
        <w:right w:val="single" w:color="000000" w:sz="8" w:space="0"/>
      </w:pBdr>
      <w:spacing w:before="100" w:beforeAutospacing="1" w:after="100" w:afterAutospacing="1"/>
      <w:ind w:firstLine="100" w:firstLineChars="100"/>
      <w:jc w:val="left"/>
    </w:pPr>
    <w:rPr>
      <w:rFonts w:ascii="仿宋_GB2312" w:hAnsi="Arial Unicode MS" w:eastAsia="仿宋_GB2312" w:cs="Arial Unicode MS"/>
      <w:kern w:val="0"/>
      <w:sz w:val="24"/>
      <w:szCs w:val="24"/>
    </w:rPr>
  </w:style>
  <w:style w:type="character" w:customStyle="1" w:styleId="75">
    <w:name w:val="称呼 Char"/>
    <w:basedOn w:val="48"/>
    <w:link w:val="16"/>
    <w:qFormat/>
    <w:uiPriority w:val="0"/>
    <w:rPr>
      <w:rFonts w:ascii="Times New Roman" w:hAnsi="Times New Roman" w:eastAsia="宋体" w:cs="Times New Roman"/>
      <w:szCs w:val="21"/>
      <w:lang w:val="zh-CN" w:eastAsia="zh-CN"/>
    </w:rPr>
  </w:style>
  <w:style w:type="character" w:customStyle="1" w:styleId="76">
    <w:name w:val="标题 Char"/>
    <w:link w:val="44"/>
    <w:qFormat/>
    <w:locked/>
    <w:uiPriority w:val="0"/>
    <w:rPr>
      <w:rFonts w:ascii="Arial" w:hAnsi="Arial" w:cs="Arial"/>
      <w:b/>
      <w:bCs/>
      <w:sz w:val="32"/>
      <w:szCs w:val="32"/>
    </w:rPr>
  </w:style>
  <w:style w:type="character" w:customStyle="1" w:styleId="77">
    <w:name w:val="标题 Char1"/>
    <w:basedOn w:val="48"/>
    <w:qFormat/>
    <w:uiPriority w:val="0"/>
    <w:rPr>
      <w:rFonts w:eastAsia="宋体" w:asciiTheme="majorHAnsi" w:hAnsiTheme="majorHAnsi" w:cstheme="majorBidi"/>
      <w:b/>
      <w:bCs/>
      <w:sz w:val="32"/>
      <w:szCs w:val="32"/>
    </w:rPr>
  </w:style>
  <w:style w:type="character" w:customStyle="1" w:styleId="78">
    <w:name w:val="注释标题 Char"/>
    <w:basedOn w:val="48"/>
    <w:link w:val="8"/>
    <w:qFormat/>
    <w:uiPriority w:val="0"/>
    <w:rPr>
      <w:rFonts w:ascii="Times New Roman" w:hAnsi="Times New Roman" w:eastAsia="宋体" w:cs="Times New Roman"/>
      <w:szCs w:val="21"/>
      <w:lang w:val="zh-CN" w:eastAsia="zh-CN"/>
    </w:rPr>
  </w:style>
  <w:style w:type="character" w:customStyle="1" w:styleId="79">
    <w:name w:val="日期 Char"/>
    <w:basedOn w:val="48"/>
    <w:link w:val="28"/>
    <w:qFormat/>
    <w:uiPriority w:val="0"/>
    <w:rPr>
      <w:rFonts w:ascii="楷体_GB2312" w:hAnsi="Times New Roman" w:eastAsia="楷体_GB2312" w:cs="Times New Roman"/>
      <w:sz w:val="28"/>
      <w:szCs w:val="24"/>
      <w:lang w:val="zh-CN" w:eastAsia="zh-CN"/>
    </w:rPr>
  </w:style>
  <w:style w:type="paragraph" w:customStyle="1" w:styleId="80">
    <w:name w:val="Char Char Char Char Char Char Char Char Char"/>
    <w:basedOn w:val="1"/>
    <w:qFormat/>
    <w:uiPriority w:val="0"/>
    <w:pPr>
      <w:tabs>
        <w:tab w:val="left" w:pos="360"/>
      </w:tabs>
      <w:ind w:left="360" w:hanging="360"/>
    </w:pPr>
    <w:rPr>
      <w:rFonts w:ascii="Times New Roman" w:hAnsi="Times New Roman" w:eastAsia="宋体" w:cs="Times New Roman"/>
      <w:sz w:val="24"/>
      <w:szCs w:val="24"/>
    </w:rPr>
  </w:style>
  <w:style w:type="paragraph" w:customStyle="1" w:styleId="81">
    <w:name w:val="xl61"/>
    <w:basedOn w:val="1"/>
    <w:qFormat/>
    <w:uiPriority w:val="0"/>
    <w:pPr>
      <w:widowControl/>
      <w:spacing w:before="100" w:after="100"/>
      <w:jc w:val="right"/>
    </w:pPr>
    <w:rPr>
      <w:rFonts w:ascii="Arial Unicode MS" w:hAnsi="Times New Roman" w:eastAsia="Arial Unicode MS" w:cs="Times New Roman"/>
      <w:kern w:val="0"/>
      <w:sz w:val="18"/>
      <w:szCs w:val="18"/>
    </w:rPr>
  </w:style>
  <w:style w:type="character" w:customStyle="1" w:styleId="82">
    <w:name w:val="纯文本 Char"/>
    <w:basedOn w:val="48"/>
    <w:link w:val="25"/>
    <w:qFormat/>
    <w:uiPriority w:val="0"/>
    <w:rPr>
      <w:rFonts w:ascii="宋体" w:hAnsi="Courier New" w:eastAsia="宋体" w:cs="Times New Roman"/>
      <w:szCs w:val="21"/>
      <w:lang w:val="zh-CN" w:eastAsia="zh-CN"/>
    </w:rPr>
  </w:style>
  <w:style w:type="character" w:customStyle="1" w:styleId="83">
    <w:name w:val="正文文本 Char"/>
    <w:basedOn w:val="48"/>
    <w:link w:val="19"/>
    <w:qFormat/>
    <w:uiPriority w:val="0"/>
    <w:rPr>
      <w:rFonts w:ascii="Times New Roman" w:hAnsi="Times New Roman" w:eastAsia="宋体" w:cs="Times New Roman"/>
      <w:szCs w:val="21"/>
      <w:lang w:val="zh-CN" w:eastAsia="zh-CN"/>
    </w:rPr>
  </w:style>
  <w:style w:type="paragraph" w:customStyle="1" w:styleId="84">
    <w:name w:val="write2"/>
    <w:basedOn w:val="1"/>
    <w:qFormat/>
    <w:uiPriority w:val="0"/>
    <w:pPr>
      <w:widowControl/>
      <w:tabs>
        <w:tab w:val="left" w:pos="709"/>
      </w:tabs>
      <w:overflowPunct w:val="0"/>
      <w:autoSpaceDE w:val="0"/>
      <w:autoSpaceDN w:val="0"/>
      <w:adjustRightInd w:val="0"/>
      <w:textAlignment w:val="baseline"/>
    </w:pPr>
    <w:rPr>
      <w:rFonts w:ascii="Helvetica-Narrow" w:hAnsi="Helvetica-Narrow" w:eastAsia="宋体" w:cs="Times New Roman"/>
      <w:kern w:val="0"/>
      <w:sz w:val="24"/>
      <w:szCs w:val="24"/>
      <w:lang w:val="en-AU"/>
    </w:rPr>
  </w:style>
  <w:style w:type="paragraph" w:customStyle="1" w:styleId="85">
    <w:name w:val="xl25"/>
    <w:basedOn w:val="1"/>
    <w:qFormat/>
    <w:uiPriority w:val="0"/>
    <w:pPr>
      <w:widowControl/>
      <w:spacing w:before="100" w:beforeAutospacing="1" w:after="100" w:afterAutospacing="1"/>
      <w:jc w:val="left"/>
    </w:pPr>
    <w:rPr>
      <w:rFonts w:hint="eastAsia" w:ascii="仿宋_GB2312" w:hAnsi="Arial Unicode MS" w:eastAsia="仿宋_GB2312" w:cs="Arial Unicode MS"/>
      <w:kern w:val="0"/>
      <w:sz w:val="24"/>
      <w:szCs w:val="24"/>
    </w:rPr>
  </w:style>
  <w:style w:type="character" w:customStyle="1" w:styleId="86">
    <w:name w:val="span_"/>
    <w:qFormat/>
    <w:uiPriority w:val="0"/>
    <w:rPr>
      <w:rFonts w:eastAsia="宋体"/>
      <w:kern w:val="2"/>
      <w:sz w:val="24"/>
      <w:szCs w:val="24"/>
      <w:lang w:val="en-US" w:eastAsia="zh-CN" w:bidi="ar-SA"/>
    </w:rPr>
  </w:style>
  <w:style w:type="paragraph" w:customStyle="1" w:styleId="87">
    <w:name w:val="Char"/>
    <w:basedOn w:val="1"/>
    <w:qFormat/>
    <w:uiPriority w:val="0"/>
    <w:pPr>
      <w:ind w:left="765" w:hanging="360"/>
    </w:pPr>
    <w:rPr>
      <w:rFonts w:ascii="Times New Roman" w:hAnsi="Times New Roman" w:eastAsia="宋体" w:cs="Times New Roman"/>
      <w:sz w:val="24"/>
      <w:szCs w:val="24"/>
    </w:rPr>
  </w:style>
  <w:style w:type="character" w:customStyle="1" w:styleId="88">
    <w:name w:val="文档结构图 Char"/>
    <w:basedOn w:val="48"/>
    <w:link w:val="13"/>
    <w:qFormat/>
    <w:uiPriority w:val="0"/>
    <w:rPr>
      <w:rFonts w:ascii="宋体" w:hAnsi="Times New Roman" w:eastAsia="宋体" w:cs="Times New Roman"/>
      <w:sz w:val="18"/>
      <w:szCs w:val="18"/>
      <w:lang w:val="zh-CN" w:eastAsia="zh-CN"/>
    </w:rPr>
  </w:style>
  <w:style w:type="paragraph" w:customStyle="1" w:styleId="89">
    <w:name w:val="Section"/>
    <w:next w:val="1"/>
    <w:qFormat/>
    <w:uiPriority w:val="0"/>
    <w:pPr>
      <w:keepNext/>
      <w:keepLines/>
      <w:widowControl w:val="0"/>
      <w:spacing w:before="300" w:after="300" w:line="241" w:lineRule="auto"/>
      <w:jc w:val="both"/>
    </w:pPr>
    <w:rPr>
      <w:rFonts w:ascii="Times New Roman" w:hAnsi="Times New Roman" w:eastAsia="宋体" w:cs="Times New Roman"/>
      <w:b/>
      <w:bCs/>
      <w:kern w:val="28"/>
      <w:sz w:val="21"/>
      <w:szCs w:val="21"/>
      <w:lang w:val="en-US" w:eastAsia="zh-CN" w:bidi="ar-SA"/>
    </w:rPr>
  </w:style>
  <w:style w:type="character" w:customStyle="1" w:styleId="90">
    <w:name w:val="脚注文本 Char"/>
    <w:basedOn w:val="48"/>
    <w:link w:val="38"/>
    <w:qFormat/>
    <w:uiPriority w:val="0"/>
    <w:rPr>
      <w:rFonts w:ascii="Times New Roman" w:hAnsi="Times New Roman" w:eastAsia="宋体" w:cs="Times New Roman"/>
      <w:sz w:val="18"/>
      <w:szCs w:val="18"/>
      <w:lang w:val="zh-CN" w:eastAsia="zh-CN"/>
    </w:rPr>
  </w:style>
  <w:style w:type="character" w:customStyle="1" w:styleId="91">
    <w:name w:val="标题 3 Char Char"/>
    <w:qFormat/>
    <w:uiPriority w:val="0"/>
    <w:rPr>
      <w:b/>
      <w:bCs/>
      <w:kern w:val="2"/>
      <w:sz w:val="32"/>
      <w:szCs w:val="32"/>
    </w:rPr>
  </w:style>
  <w:style w:type="paragraph" w:customStyle="1" w:styleId="92">
    <w:name w:val="TOC Heading"/>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93">
    <w:name w:val="Char Char Char Char Char Char Char Char Char Char Char Char Char"/>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character" w:customStyle="1" w:styleId="94">
    <w:name w:val="正文文本缩进 2 Char"/>
    <w:basedOn w:val="48"/>
    <w:link w:val="29"/>
    <w:qFormat/>
    <w:uiPriority w:val="0"/>
    <w:rPr>
      <w:rFonts w:ascii="仿宋_GB2312" w:hAnsi="Times New Roman" w:eastAsia="仿宋_GB2312" w:cs="Times New Roman"/>
      <w:kern w:val="0"/>
      <w:sz w:val="24"/>
      <w:szCs w:val="20"/>
    </w:rPr>
  </w:style>
  <w:style w:type="character" w:customStyle="1" w:styleId="95">
    <w:name w:val="正文文本缩进 Char"/>
    <w:basedOn w:val="48"/>
    <w:link w:val="20"/>
    <w:qFormat/>
    <w:uiPriority w:val="0"/>
    <w:rPr>
      <w:rFonts w:ascii="仿宋_GB2312" w:hAnsi="MS Sans Serif" w:eastAsia="仿宋_GB2312" w:cs="Times New Roman"/>
      <w:kern w:val="0"/>
      <w:sz w:val="28"/>
      <w:szCs w:val="20"/>
    </w:rPr>
  </w:style>
  <w:style w:type="paragraph" w:customStyle="1" w:styleId="96">
    <w:name w:val="标准"/>
    <w:basedOn w:val="1"/>
    <w:qFormat/>
    <w:uiPriority w:val="0"/>
    <w:pPr>
      <w:adjustRightInd w:val="0"/>
      <w:spacing w:line="360" w:lineRule="auto"/>
      <w:jc w:val="center"/>
      <w:textAlignment w:val="baseline"/>
    </w:pPr>
    <w:rPr>
      <w:rFonts w:ascii="Times New Roman" w:hAnsi="Times New Roman" w:eastAsia="宋体" w:cs="Times New Roman"/>
      <w:spacing w:val="28"/>
      <w:kern w:val="0"/>
      <w:sz w:val="72"/>
      <w:szCs w:val="20"/>
    </w:rPr>
  </w:style>
  <w:style w:type="character" w:customStyle="1" w:styleId="97">
    <w:name w:val="正文文本缩进 3 Char"/>
    <w:basedOn w:val="48"/>
    <w:link w:val="39"/>
    <w:qFormat/>
    <w:uiPriority w:val="0"/>
    <w:rPr>
      <w:rFonts w:ascii="楷体_GB2312" w:hAnsi="Times New Roman" w:eastAsia="楷体_GB2312" w:cs="Times New Roman"/>
      <w:sz w:val="28"/>
      <w:szCs w:val="20"/>
    </w:rPr>
  </w:style>
  <w:style w:type="character" w:customStyle="1" w:styleId="98">
    <w:name w:val="正文文本 2 Char"/>
    <w:basedOn w:val="48"/>
    <w:link w:val="41"/>
    <w:qFormat/>
    <w:uiPriority w:val="0"/>
    <w:rPr>
      <w:rFonts w:ascii="楷体_GB2312" w:hAnsi="Times New Roman" w:eastAsia="楷体_GB2312" w:cs="Times New Roman"/>
      <w:sz w:val="28"/>
      <w:szCs w:val="20"/>
    </w:rPr>
  </w:style>
  <w:style w:type="character" w:customStyle="1" w:styleId="99">
    <w:name w:val="正文文本 3 Char"/>
    <w:basedOn w:val="48"/>
    <w:link w:val="17"/>
    <w:qFormat/>
    <w:uiPriority w:val="0"/>
    <w:rPr>
      <w:rFonts w:ascii="楷体_GB2312" w:hAnsi="Times New Roman" w:eastAsia="楷体_GB2312" w:cs="Times New Roman"/>
      <w:color w:val="000000"/>
      <w:sz w:val="24"/>
    </w:rPr>
  </w:style>
  <w:style w:type="character" w:customStyle="1" w:styleId="100">
    <w:name w:val="font14 line-height"/>
    <w:basedOn w:val="48"/>
    <w:qFormat/>
    <w:uiPriority w:val="0"/>
  </w:style>
  <w:style w:type="character" w:customStyle="1" w:styleId="101">
    <w:name w:val="msoins"/>
    <w:basedOn w:val="48"/>
    <w:qFormat/>
    <w:uiPriority w:val="0"/>
  </w:style>
  <w:style w:type="paragraph" w:customStyle="1" w:styleId="102">
    <w:name w:val="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103">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kern w:val="0"/>
      <w:sz w:val="24"/>
      <w:szCs w:val="20"/>
      <w:lang w:val="en-US" w:eastAsia="en-US" w:bidi="ar-SA"/>
    </w:rPr>
  </w:style>
  <w:style w:type="paragraph" w:customStyle="1" w:styleId="104">
    <w:name w:val="font8"/>
    <w:basedOn w:val="1"/>
    <w:qFormat/>
    <w:uiPriority w:val="0"/>
    <w:pPr>
      <w:widowControl/>
      <w:spacing w:before="100" w:beforeAutospacing="1" w:after="100" w:afterAutospacing="1"/>
      <w:jc w:val="left"/>
    </w:pPr>
    <w:rPr>
      <w:rFonts w:hint="eastAsia" w:ascii="宋体" w:hAnsi="宋体" w:eastAsia="宋体" w:cs="Arial Unicode MS"/>
      <w:b/>
      <w:bCs/>
      <w:kern w:val="0"/>
      <w:sz w:val="24"/>
      <w:szCs w:val="24"/>
    </w:rPr>
  </w:style>
  <w:style w:type="paragraph" w:customStyle="1" w:styleId="1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6">
    <w:name w:val="Char Char Char Char Char Char1 Char Char Char"/>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07">
    <w:name w:val="Char Char4"/>
    <w:qFormat/>
    <w:uiPriority w:val="0"/>
    <w:rPr>
      <w:b/>
      <w:bCs/>
      <w:sz w:val="32"/>
      <w:szCs w:val="32"/>
    </w:rPr>
  </w:style>
  <w:style w:type="paragraph" w:customStyle="1" w:styleId="108">
    <w:name w:val="默认段落字体 Para Char Char Char Char Char Char Char"/>
    <w:basedOn w:val="1"/>
    <w:qFormat/>
    <w:uiPriority w:val="0"/>
    <w:rPr>
      <w:rFonts w:ascii="Tahoma" w:hAnsi="Tahoma" w:eastAsia="宋体" w:cs="Times New Roman"/>
      <w:sz w:val="24"/>
      <w:szCs w:val="20"/>
    </w:rPr>
  </w:style>
  <w:style w:type="character" w:customStyle="1" w:styleId="109">
    <w:name w:val="Body Text Char"/>
    <w:link w:val="110"/>
    <w:qFormat/>
    <w:uiPriority w:val="0"/>
    <w:rPr>
      <w:rFonts w:ascii="Georgia"/>
    </w:rPr>
  </w:style>
  <w:style w:type="paragraph" w:customStyle="1" w:styleId="110">
    <w:name w:val="Body Text1"/>
    <w:basedOn w:val="1"/>
    <w:link w:val="109"/>
    <w:qFormat/>
    <w:uiPriority w:val="0"/>
    <w:rPr>
      <w:rFonts w:ascii="Georgia"/>
    </w:rPr>
  </w:style>
  <w:style w:type="paragraph" w:customStyle="1" w:styleId="111">
    <w:name w:val="Char Char Char Char Char Char Char Char Char Char Char Char Char2"/>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12">
    <w:name w:val="Char Char Char Char Char Char1 Char Char Char2"/>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13">
    <w:name w:val="Char Char42"/>
    <w:qFormat/>
    <w:uiPriority w:val="0"/>
    <w:rPr>
      <w:b/>
      <w:bCs/>
      <w:sz w:val="32"/>
      <w:szCs w:val="32"/>
    </w:rPr>
  </w:style>
  <w:style w:type="paragraph" w:customStyle="1" w:styleId="114">
    <w:name w:val="Char Char Char Char Char Char Char Char Char Char Char Char Char1"/>
    <w:basedOn w:val="1"/>
    <w:qFormat/>
    <w:uiPriority w:val="0"/>
    <w:pPr>
      <w:snapToGrid w:val="0"/>
      <w:spacing w:line="360" w:lineRule="auto"/>
      <w:ind w:firstLine="200" w:firstLineChars="200"/>
    </w:pPr>
    <w:rPr>
      <w:rFonts w:ascii="Times New Roman" w:hAnsi="Times New Roman" w:eastAsia="仿宋_GB2312" w:cs="Times New Roman"/>
      <w:sz w:val="24"/>
      <w:szCs w:val="24"/>
    </w:rPr>
  </w:style>
  <w:style w:type="paragraph" w:customStyle="1" w:styleId="115">
    <w:name w:val="Char Char Char Char Char Char1 Char Char Char1"/>
    <w:basedOn w:val="1"/>
    <w:qFormat/>
    <w:uiPriority w:val="0"/>
    <w:pPr>
      <w:autoSpaceDE w:val="0"/>
      <w:autoSpaceDN w:val="0"/>
      <w:adjustRightInd w:val="0"/>
      <w:jc w:val="left"/>
      <w:textAlignment w:val="baseline"/>
    </w:pPr>
    <w:rPr>
      <w:rFonts w:ascii="Times New Roman" w:hAnsi="Times New Roman" w:eastAsia="方正仿宋简体" w:cs="Times New Roman"/>
      <w:sz w:val="32"/>
      <w:szCs w:val="20"/>
    </w:rPr>
  </w:style>
  <w:style w:type="character" w:customStyle="1" w:styleId="116">
    <w:name w:val="Char Char41"/>
    <w:qFormat/>
    <w:uiPriority w:val="0"/>
    <w:rPr>
      <w:b/>
      <w:bCs/>
      <w:sz w:val="32"/>
      <w:szCs w:val="32"/>
    </w:rPr>
  </w:style>
  <w:style w:type="character" w:customStyle="1" w:styleId="117">
    <w:name w:val="副标题 Char"/>
    <w:basedOn w:val="48"/>
    <w:link w:val="35"/>
    <w:qFormat/>
    <w:uiPriority w:val="11"/>
    <w:rPr>
      <w:rFonts w:eastAsia="宋体" w:asciiTheme="majorHAnsi" w:hAnsiTheme="majorHAnsi" w:cstheme="majorBidi"/>
      <w:b/>
      <w:bCs/>
      <w:kern w:val="28"/>
      <w:sz w:val="32"/>
      <w:szCs w:val="32"/>
    </w:rPr>
  </w:style>
  <w:style w:type="paragraph" w:customStyle="1" w:styleId="118">
    <w:name w:val="Table Paragraph"/>
    <w:basedOn w:val="1"/>
    <w:qFormat/>
    <w:uiPriority w:val="1"/>
    <w:pPr>
      <w:autoSpaceDE w:val="0"/>
      <w:autoSpaceDN w:val="0"/>
      <w:adjustRightInd w:val="0"/>
      <w:ind w:left="562" w:right="564"/>
      <w:jc w:val="left"/>
    </w:pPr>
    <w:rPr>
      <w:rFonts w:ascii="宋体" w:hAnsi="Times New Roman" w:eastAsia="宋体" w:cs="宋体"/>
      <w:kern w:val="0"/>
      <w:sz w:val="24"/>
      <w:szCs w:val="24"/>
    </w:rPr>
  </w:style>
  <w:style w:type="table" w:customStyle="1" w:styleId="119">
    <w:name w:val="网格型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
    <w:name w:val="网格型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
    <w:name w:val="网格型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2">
    <w:name w:val="标题 5 Char"/>
    <w:basedOn w:val="48"/>
    <w:link w:val="6"/>
    <w:semiHidden/>
    <w:qFormat/>
    <w:uiPriority w:val="9"/>
    <w:rPr>
      <w:b/>
      <w:bCs/>
      <w:sz w:val="28"/>
      <w:szCs w:val="28"/>
    </w:rPr>
  </w:style>
  <w:style w:type="table" w:customStyle="1" w:styleId="123">
    <w:name w:val="网格型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
    <w:name w:val="网格型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
    <w:name w:val="Plain Table 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26">
    <w:name w:val="Plain Table 3"/>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27">
    <w:name w:val="TableGrid"/>
    <w:qFormat/>
    <w:uiPriority w:val="0"/>
    <w:rPr>
      <w:rFonts w:ascii="Calibri" w:hAnsi="Calibri" w:eastAsia="宋体" w:cs="Times New Roman"/>
    </w:rPr>
    <w:tblPr>
      <w:tblCellMar>
        <w:top w:w="0" w:type="dxa"/>
        <w:left w:w="0" w:type="dxa"/>
        <w:bottom w:w="0" w:type="dxa"/>
        <w:right w:w="0" w:type="dxa"/>
      </w:tblCellMar>
    </w:tblPr>
  </w:style>
  <w:style w:type="table" w:customStyle="1" w:styleId="128">
    <w:name w:val="网格型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
    <w:name w:val="网格型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网格型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
    <w:name w:val="网格型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
    <w:name w:val="网格型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
    <w:name w:val="网格型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
    <w:name w:val="网格型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
    <w:name w:val="网格型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
    <w:name w:val="无格式表格 21"/>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39">
    <w:name w:val="无格式表格 31"/>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40">
    <w:name w:val="TableGrid1"/>
    <w:qFormat/>
    <w:uiPriority w:val="0"/>
    <w:rPr>
      <w:rFonts w:ascii="Calibri" w:hAnsi="Calibri" w:eastAsia="宋体" w:cs="Times New Roman"/>
    </w:rPr>
    <w:tblPr>
      <w:tblCellMar>
        <w:top w:w="0" w:type="dxa"/>
        <w:left w:w="0" w:type="dxa"/>
        <w:bottom w:w="0" w:type="dxa"/>
        <w:right w:w="0" w:type="dxa"/>
      </w:tblCellMar>
    </w:tblPr>
  </w:style>
  <w:style w:type="table" w:customStyle="1" w:styleId="141">
    <w:name w:val="网格型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
    <w:name w:val="网格型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
    <w:name w:val="网格型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
    <w:name w:val="网格型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
    <w:name w:val="网格型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
    <w:name w:val="网格型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无格式表格 2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49">
    <w:name w:val="无格式表格 32"/>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50">
    <w:name w:val="TableGrid2"/>
    <w:qFormat/>
    <w:uiPriority w:val="0"/>
    <w:rPr>
      <w:rFonts w:ascii="Calibri" w:hAnsi="Calibri" w:eastAsia="宋体" w:cs="Times New Roman"/>
    </w:rPr>
    <w:tblPr>
      <w:tblCellMar>
        <w:top w:w="0" w:type="dxa"/>
        <w:left w:w="0" w:type="dxa"/>
        <w:bottom w:w="0" w:type="dxa"/>
        <w:right w:w="0" w:type="dxa"/>
      </w:tblCellMar>
    </w:tblPr>
  </w:style>
  <w:style w:type="table" w:customStyle="1" w:styleId="151">
    <w:name w:val="网格型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
    <w:name w:val="网格型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
    <w:name w:val="网格型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
    <w:name w:val="网格型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
    <w:name w:val="网格型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
    <w:name w:val="网格型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
    <w:name w:val="网格型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
    <w:name w:val="网格型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网格型6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
    <w:name w:val="网格型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1">
    <w:name w:val="fontstyle01"/>
    <w:basedOn w:val="48"/>
    <w:qFormat/>
    <w:uiPriority w:val="0"/>
    <w:rPr>
      <w:rFonts w:hint="default" w:ascii="CIDFont+F4" w:hAnsi="CIDFont+F4"/>
      <w:color w:val="000000"/>
      <w:sz w:val="28"/>
      <w:szCs w:val="28"/>
    </w:rPr>
  </w:style>
  <w:style w:type="table" w:customStyle="1" w:styleId="162">
    <w:name w:val="网格型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
    <w:name w:val="网格型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无格式表格 23"/>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65">
    <w:name w:val="无格式表格 33"/>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66">
    <w:name w:val="TableGrid3"/>
    <w:qFormat/>
    <w:uiPriority w:val="0"/>
    <w:rPr>
      <w:rFonts w:ascii="Calibri" w:hAnsi="Calibri" w:eastAsia="宋体" w:cs="Times New Roman"/>
    </w:rPr>
    <w:tblPr>
      <w:tblCellMar>
        <w:top w:w="0" w:type="dxa"/>
        <w:left w:w="0" w:type="dxa"/>
        <w:bottom w:w="0" w:type="dxa"/>
        <w:right w:w="0" w:type="dxa"/>
      </w:tblCellMar>
    </w:tblPr>
  </w:style>
  <w:style w:type="table" w:customStyle="1" w:styleId="167">
    <w:name w:val="网格型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网格型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
    <w:name w:val="网格型6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网格型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
    <w:name w:val="网格型6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
    <w:name w:val="网格型8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
    <w:name w:val="网格型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
    <w:name w:val="网格型1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
    <w:name w:val="网格型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
    <w:name w:val="网格型1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13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
    <w:name w:val="网格型1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网格型1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网格型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
    <w:name w:val="网格型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4">
    <w:name w:val="fontstyle21"/>
    <w:basedOn w:val="48"/>
    <w:qFormat/>
    <w:uiPriority w:val="0"/>
    <w:rPr>
      <w:rFonts w:hint="default" w:ascii="CIDFont+F1" w:hAnsi="CIDFont+F1"/>
      <w:color w:val="000000"/>
      <w:sz w:val="28"/>
      <w:szCs w:val="28"/>
    </w:rPr>
  </w:style>
  <w:style w:type="table" w:customStyle="1" w:styleId="185">
    <w:name w:val="网格型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
    <w:name w:val="网格型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
    <w:name w:val="无格式表格 24"/>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188">
    <w:name w:val="无格式表格 34"/>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189">
    <w:name w:val="TableGrid4"/>
    <w:qFormat/>
    <w:uiPriority w:val="0"/>
    <w:rPr>
      <w:rFonts w:ascii="Calibri" w:hAnsi="Calibri" w:eastAsia="宋体" w:cs="Times New Roman"/>
    </w:rPr>
    <w:tblPr>
      <w:tblCellMar>
        <w:top w:w="0" w:type="dxa"/>
        <w:left w:w="0" w:type="dxa"/>
        <w:bottom w:w="0" w:type="dxa"/>
        <w:right w:w="0" w:type="dxa"/>
      </w:tblCellMar>
    </w:tblPr>
  </w:style>
  <w:style w:type="table" w:customStyle="1" w:styleId="190">
    <w:name w:val="网格型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
    <w:name w:val="网格型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
    <w:name w:val="网格型6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
    <w:name w:val="网格型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
    <w:name w:val="网格型5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
    <w:name w:val="网格型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
    <w:name w:val="网格型7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
    <w:name w:val="网格型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
    <w:name w:val="网格型9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
    <w:name w:val="网格型10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
    <w:name w:val="网格型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
    <w:name w:val="网格型12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
    <w:name w:val="网格型13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
    <w:name w:val="网格型14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
    <w:name w:val="网格型1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
    <w:name w:val="网格型16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
    <w:name w:val="网格型17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
    <w:name w:val="网格型2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
    <w:name w:val="网格型1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
    <w:name w:val="无格式表格 211"/>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10">
    <w:name w:val="无格式表格 311"/>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11">
    <w:name w:val="TableGrid5"/>
    <w:qFormat/>
    <w:uiPriority w:val="0"/>
    <w:rPr>
      <w:rFonts w:ascii="Calibri" w:hAnsi="Calibri" w:eastAsia="宋体" w:cs="Times New Roman"/>
    </w:rPr>
    <w:tblPr>
      <w:tblCellMar>
        <w:top w:w="0" w:type="dxa"/>
        <w:left w:w="0" w:type="dxa"/>
        <w:bottom w:w="0" w:type="dxa"/>
        <w:right w:w="0" w:type="dxa"/>
      </w:tblCellMar>
    </w:tblPr>
  </w:style>
  <w:style w:type="table" w:customStyle="1" w:styleId="212">
    <w:name w:val="网格型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
    <w:name w:val="网格型3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6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4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
    <w:name w:val="网格型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
    <w:name w:val="网格型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
    <w:name w:val="网格型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
    <w:name w:val="网格型8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
    <w:name w:val="网格型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0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网格型1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网格型12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网格型13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网格型14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15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网格型16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网格型17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18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网格型19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1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无格式表格 25"/>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34">
    <w:name w:val="无格式表格 35"/>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35">
    <w:name w:val="TableGrid6"/>
    <w:qFormat/>
    <w:uiPriority w:val="0"/>
    <w:rPr>
      <w:rFonts w:ascii="Calibri" w:hAnsi="Calibri" w:eastAsia="宋体" w:cs="Times New Roman"/>
    </w:rPr>
    <w:tblPr>
      <w:tblCellMar>
        <w:top w:w="0" w:type="dxa"/>
        <w:left w:w="0" w:type="dxa"/>
        <w:bottom w:w="0" w:type="dxa"/>
        <w:right w:w="0" w:type="dxa"/>
      </w:tblCellMar>
    </w:tblPr>
  </w:style>
  <w:style w:type="table" w:customStyle="1" w:styleId="236">
    <w:name w:val="网格型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网格型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6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网格型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网格型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网格型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网格型8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9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0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11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12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13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9">
    <w:name w:val="网格型14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0">
    <w:name w:val="网格型15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1">
    <w:name w:val="网格型16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7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18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2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7">
    <w:name w:val="网格型19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8">
    <w:name w:val="网格型29"/>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9">
    <w:name w:val="网格型11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0">
    <w:name w:val="修订1"/>
    <w:hidden/>
    <w:qFormat/>
    <w:uiPriority w:val="99"/>
    <w:rPr>
      <w:rFonts w:ascii="Calibri" w:hAnsi="Calibri" w:eastAsia="宋体" w:cs="Times New Roman"/>
      <w:kern w:val="2"/>
      <w:sz w:val="21"/>
      <w:szCs w:val="22"/>
      <w:lang w:val="en-US" w:eastAsia="zh-CN" w:bidi="ar-SA"/>
    </w:rPr>
  </w:style>
  <w:style w:type="table" w:customStyle="1" w:styleId="261">
    <w:name w:val="无格式表格 212"/>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62">
    <w:name w:val="无格式表格 312"/>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63">
    <w:name w:val="TableGrid7"/>
    <w:qFormat/>
    <w:uiPriority w:val="0"/>
    <w:rPr>
      <w:rFonts w:ascii="Calibri" w:hAnsi="Calibri" w:eastAsia="宋体" w:cs="Times New Roman"/>
      <w:kern w:val="0"/>
      <w:sz w:val="20"/>
      <w:szCs w:val="20"/>
    </w:rPr>
    <w:tblPr>
      <w:tblCellMar>
        <w:top w:w="0" w:type="dxa"/>
        <w:left w:w="0" w:type="dxa"/>
        <w:bottom w:w="0" w:type="dxa"/>
        <w:right w:w="0" w:type="dxa"/>
      </w:tblCellMar>
    </w:tblPr>
  </w:style>
  <w:style w:type="paragraph" w:customStyle="1" w:styleId="264">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265">
    <w:name w:val="网格型210"/>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6">
    <w:name w:val="网格型3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7">
    <w:name w:val="网格型61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8">
    <w:name w:val="网格型4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5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68"/>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1">
    <w:name w:val="网格型7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2">
    <w:name w:val="网格型87"/>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3">
    <w:name w:val="网格型96"/>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4">
    <w:name w:val="网格型10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5">
    <w:name w:val="网格型118"/>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6">
    <w:name w:val="网格型12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网格型13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45"/>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网格型154"/>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网格型164"/>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网格型174"/>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网格型183"/>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网格型193"/>
    <w:basedOn w:val="4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网格型3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网格型1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无格式表格 26"/>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287">
    <w:name w:val="无格式表格 36"/>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288">
    <w:name w:val="TableGrid8"/>
    <w:qFormat/>
    <w:uiPriority w:val="0"/>
    <w:rPr>
      <w:rFonts w:ascii="Calibri" w:hAnsi="Calibri" w:eastAsia="宋体" w:cs="Times New Roman"/>
    </w:rPr>
    <w:tblPr>
      <w:tblCellMar>
        <w:top w:w="0" w:type="dxa"/>
        <w:left w:w="0" w:type="dxa"/>
        <w:bottom w:w="0" w:type="dxa"/>
        <w:right w:w="0" w:type="dxa"/>
      </w:tblCellMar>
    </w:tblPr>
  </w:style>
  <w:style w:type="table" w:customStyle="1" w:styleId="289">
    <w:name w:val="网格型2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0">
    <w:name w:val="网格型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1">
    <w:name w:val="网格型61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2">
    <w:name w:val="网格型4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3">
    <w:name w:val="网格型5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4">
    <w:name w:val="网格型6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5">
    <w:name w:val="网格型7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6">
    <w:name w:val="网格型8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7">
    <w:name w:val="网格型9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8">
    <w:name w:val="网格型10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9">
    <w:name w:val="网格型1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0">
    <w:name w:val="网格型12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1">
    <w:name w:val="网格型13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2">
    <w:name w:val="网格型14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3">
    <w:name w:val="网格型15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4">
    <w:name w:val="网格型16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5">
    <w:name w:val="网格型17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6">
    <w:name w:val="网格型18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7">
    <w:name w:val="网格型19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8">
    <w:name w:val="无格式表格 213"/>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09">
    <w:name w:val="无格式表格 313"/>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10">
    <w:name w:val="TableGrid11"/>
    <w:qFormat/>
    <w:uiPriority w:val="0"/>
    <w:rPr>
      <w:rFonts w:ascii="Calibri" w:hAnsi="Calibri" w:eastAsia="宋体" w:cs="Times New Roman"/>
    </w:rPr>
    <w:tblPr>
      <w:tblCellMar>
        <w:top w:w="0" w:type="dxa"/>
        <w:left w:w="0" w:type="dxa"/>
        <w:bottom w:w="0" w:type="dxa"/>
        <w:right w:w="0" w:type="dxa"/>
      </w:tblCellMar>
    </w:tblPr>
  </w:style>
  <w:style w:type="table" w:customStyle="1" w:styleId="311">
    <w:name w:val="网格型2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2">
    <w:name w:val="网格型3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3">
    <w:name w:val="网格型6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4">
    <w:name w:val="网格型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5">
    <w:name w:val="网格型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6">
    <w:name w:val="网格型15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7">
    <w:name w:val="网格型6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8">
    <w:name w:val="网格型16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9">
    <w:name w:val="网格型14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0">
    <w:name w:val="网格型8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1">
    <w:name w:val="网格型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2">
    <w:name w:val="网格型10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3">
    <w:name w:val="网格型11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12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5">
    <w:name w:val="网格型13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6">
    <w:name w:val="网格型7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7">
    <w:name w:val="网格型20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8">
    <w:name w:val="网格型32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网格型191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网格型3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网格型1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
    <w:name w:val="无格式表格 27"/>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33">
    <w:name w:val="无格式表格 37"/>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34">
    <w:name w:val="TableGrid9"/>
    <w:qFormat/>
    <w:uiPriority w:val="0"/>
    <w:rPr>
      <w:rFonts w:ascii="Calibri" w:hAnsi="Calibri" w:eastAsia="宋体" w:cs="Times New Roman"/>
    </w:rPr>
    <w:tblPr>
      <w:tblCellMar>
        <w:top w:w="0" w:type="dxa"/>
        <w:left w:w="0" w:type="dxa"/>
        <w:bottom w:w="0" w:type="dxa"/>
        <w:right w:w="0" w:type="dxa"/>
      </w:tblCellMar>
    </w:tblPr>
  </w:style>
  <w:style w:type="table" w:customStyle="1" w:styleId="335">
    <w:name w:val="网格型21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网格型3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网格型61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网格型4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网格型5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网格型6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网格型7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网格型8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3">
    <w:name w:val="网格型9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4">
    <w:name w:val="网格型10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5">
    <w:name w:val="网格型1112"/>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6">
    <w:name w:val="网格型12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7">
    <w:name w:val="网格型13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8">
    <w:name w:val="网格型14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9">
    <w:name w:val="网格型15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0">
    <w:name w:val="网格型16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1">
    <w:name w:val="网格型17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2">
    <w:name w:val="网格型4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3">
    <w:name w:val="网格型12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4">
    <w:name w:val="无格式表格 28"/>
    <w:basedOn w:val="46"/>
    <w:qFormat/>
    <w:uiPriority w:val="42"/>
    <w:rPr>
      <w:rFonts w:ascii="Calibri" w:hAnsi="Calibri" w:eastAsia="宋体" w:cs="Times New Roman"/>
      <w:kern w:val="0"/>
      <w:sz w:val="20"/>
      <w:szCs w:val="20"/>
    </w:rPr>
    <w:tblPr>
      <w:tblBorders>
        <w:top w:val="single" w:color="7F7F7F" w:sz="4" w:space="0"/>
        <w:bottom w:val="single" w:color="7F7F7F" w:sz="4" w:space="0"/>
      </w:tblBorders>
    </w:tblPr>
    <w:tblStylePr w:type="firstRow">
      <w:rPr>
        <w:b/>
        <w:bCs/>
      </w:rPr>
      <w:tcPr>
        <w:tcBorders>
          <w:bottom w:val="single" w:color="7F7F7F" w:sz="4" w:space="0"/>
        </w:tcBorders>
      </w:tcPr>
    </w:tblStylePr>
    <w:tblStylePr w:type="lastRow">
      <w:rPr>
        <w:b/>
        <w:bCs/>
      </w:rPr>
      <w:tcPr>
        <w:tcBorders>
          <w:top w:val="single" w:color="7F7F7F" w:sz="4" w:space="0"/>
        </w:tcBorders>
      </w:tcPr>
    </w:tblStylePr>
    <w:tblStylePr w:type="firstCol">
      <w:rPr>
        <w:b/>
        <w:bCs/>
      </w:rPr>
    </w:tblStylePr>
    <w:tblStylePr w:type="lastCol">
      <w:rPr>
        <w:b/>
        <w:bCs/>
      </w:rPr>
    </w:tblStylePr>
    <w:tblStylePr w:type="band1Vert">
      <w:tcPr>
        <w:tcBorders>
          <w:left w:val="single" w:color="7F7F7F" w:sz="4" w:space="0"/>
          <w:right w:val="single" w:color="7F7F7F" w:sz="4" w:space="0"/>
        </w:tcBorders>
      </w:tcPr>
    </w:tblStylePr>
    <w:tblStylePr w:type="band2Vert">
      <w:tcPr>
        <w:tcBorders>
          <w:left w:val="single" w:color="7F7F7F" w:sz="4" w:space="0"/>
          <w:right w:val="single" w:color="7F7F7F" w:sz="4" w:space="0"/>
        </w:tcBorders>
      </w:tcPr>
    </w:tblStylePr>
    <w:tblStylePr w:type="band1Horz">
      <w:tcPr>
        <w:tcBorders>
          <w:top w:val="single" w:color="7F7F7F" w:sz="4" w:space="0"/>
          <w:bottom w:val="single" w:color="7F7F7F" w:sz="4" w:space="0"/>
        </w:tcBorders>
      </w:tcPr>
    </w:tblStylePr>
  </w:style>
  <w:style w:type="table" w:customStyle="1" w:styleId="355">
    <w:name w:val="无格式表格 38"/>
    <w:basedOn w:val="46"/>
    <w:qFormat/>
    <w:uiPriority w:val="43"/>
    <w:rPr>
      <w:rFonts w:ascii="Calibri" w:hAnsi="Calibri" w:eastAsia="宋体" w:cs="Times New Roman"/>
      <w:kern w:val="0"/>
      <w:sz w:val="20"/>
      <w:szCs w:val="20"/>
    </w:rPr>
    <w:tblStylePr w:type="firstRow">
      <w:rPr>
        <w:b/>
        <w:bCs/>
        <w:caps/>
      </w:rPr>
      <w:tcPr>
        <w:tcBorders>
          <w:bottom w:val="single" w:color="7F7F7F" w:sz="4" w:space="0"/>
        </w:tcBorders>
      </w:tcPr>
    </w:tblStylePr>
    <w:tblStylePr w:type="lastRow">
      <w:rPr>
        <w:b/>
        <w:bCs/>
        <w:caps/>
      </w:rPr>
      <w:tcPr>
        <w:tcBorders>
          <w:top w:val="nil"/>
        </w:tcBorders>
      </w:tcPr>
    </w:tblStylePr>
    <w:tblStylePr w:type="firstCol">
      <w:rPr>
        <w:b/>
        <w:bCs/>
        <w:caps/>
      </w:rPr>
      <w:tcPr>
        <w:tcBorders>
          <w:right w:val="single" w:color="7F7F7F" w:sz="4" w:space="0"/>
        </w:tcBorders>
      </w:tcPr>
    </w:tblStylePr>
    <w:tblStylePr w:type="lastCol">
      <w:rPr>
        <w:b/>
        <w:bCs/>
        <w:caps/>
      </w:rPr>
      <w:tcPr>
        <w:tcBorders>
          <w:left w:val="nil"/>
        </w:tcBorders>
      </w:tcPr>
    </w:tblStylePr>
    <w:tblStylePr w:type="band1Vert">
      <w:tcPr>
        <w:shd w:val="clear" w:color="auto" w:fill="F2F2F2"/>
      </w:tcPr>
    </w:tblStylePr>
    <w:tblStylePr w:type="band1Horz">
      <w:tcPr>
        <w:shd w:val="clear" w:color="auto" w:fill="F2F2F2"/>
      </w:tcPr>
    </w:tblStylePr>
    <w:tblStylePr w:type="neCell">
      <w:tcPr>
        <w:tcBorders>
          <w:left w:val="nil"/>
        </w:tcBorders>
      </w:tcPr>
    </w:tblStylePr>
    <w:tblStylePr w:type="nwCell">
      <w:tcPr>
        <w:tcBorders>
          <w:right w:val="nil"/>
        </w:tcBorders>
      </w:tcPr>
    </w:tblStylePr>
  </w:style>
  <w:style w:type="table" w:customStyle="1" w:styleId="356">
    <w:name w:val="TableGrid10"/>
    <w:qFormat/>
    <w:uiPriority w:val="0"/>
    <w:rPr>
      <w:rFonts w:ascii="Calibri" w:hAnsi="Calibri" w:eastAsia="宋体" w:cs="Times New Roman"/>
    </w:rPr>
    <w:tblPr>
      <w:tblCellMar>
        <w:top w:w="0" w:type="dxa"/>
        <w:left w:w="0" w:type="dxa"/>
        <w:bottom w:w="0" w:type="dxa"/>
        <w:right w:w="0" w:type="dxa"/>
      </w:tblCellMar>
    </w:tblPr>
  </w:style>
  <w:style w:type="table" w:customStyle="1" w:styleId="357">
    <w:name w:val="网格型21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网格型3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9">
    <w:name w:val="网格型61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0">
    <w:name w:val="网格型4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1">
    <w:name w:val="网格型5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
    <w:name w:val="网格型62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3">
    <w:name w:val="网格型7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4">
    <w:name w:val="网格型81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5">
    <w:name w:val="网格型9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6">
    <w:name w:val="网格型10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7">
    <w:name w:val="网格型1113"/>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8">
    <w:name w:val="网格型129"/>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9">
    <w:name w:val="网格型13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0">
    <w:name w:val="网格型148"/>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1">
    <w:name w:val="网格型15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
    <w:name w:val="网格型16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网格型177"/>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
    <w:name w:val="网格型185"/>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网格型216"/>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
    <w:name w:val="网格型1811"/>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
    <w:name w:val="网格型222"/>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网格型314"/>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
    <w:name w:val="网格型195"/>
    <w:basedOn w:val="46"/>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
    <w:name w:val="网格型5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
    <w:name w:val="网格型6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2">
    <w:name w:val="修订11"/>
    <w:hidden/>
    <w:qFormat/>
    <w:uiPriority w:val="99"/>
    <w:rPr>
      <w:rFonts w:ascii="Calibri" w:hAnsi="Calibri" w:eastAsia="宋体" w:cs="Times New Roman"/>
      <w:kern w:val="2"/>
      <w:sz w:val="21"/>
      <w:szCs w:val="22"/>
      <w:lang w:val="en-US" w:eastAsia="zh-CN" w:bidi="ar-SA"/>
    </w:rPr>
  </w:style>
  <w:style w:type="paragraph" w:customStyle="1" w:styleId="383">
    <w:name w:val="TOC 标题11"/>
    <w:basedOn w:val="2"/>
    <w:next w:val="1"/>
    <w:unhideWhenUsed/>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table" w:customStyle="1" w:styleId="384">
    <w:name w:val="网格型70"/>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1893</Words>
  <Characters>10794</Characters>
  <Lines>89</Lines>
  <Paragraphs>25</Paragraphs>
  <TotalTime>27</TotalTime>
  <ScaleCrop>false</ScaleCrop>
  <LinksUpToDate>false</LinksUpToDate>
  <CharactersWithSpaces>12662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2022-09-06T17:36:00Z</dcterms:created>
  <dc:creator>帅嘉伟sjw</dc:creator>
  <cp:lastModifiedBy>shuaijw</cp:lastModifiedBy>
  <cp:lastPrinted>2020-01-17T00:15:00Z</cp:lastPrinted>
  <dcterms:modified xsi:type="dcterms:W3CDTF">2022-09-16T15:30:09Z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