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rPr>
          <w:rFonts w:ascii="Times New Roman" w:hAnsi="Times New Roman" w:eastAsia="黑体"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600" w:lineRule="exact"/>
        <w:jc w:val="center"/>
        <w:outlineLvl w:val="0"/>
        <w:rPr>
          <w:rFonts w:ascii="Times New Roman" w:hAnsi="Times New Roman" w:eastAsia="方正大标宋简体"/>
          <w:color w:val="000000" w:themeColor="text1"/>
          <w:sz w:val="44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大标宋简体"/>
          <w:color w:val="000000" w:themeColor="text1"/>
          <w:sz w:val="44"/>
          <w:szCs w:val="42"/>
          <w14:textFill>
            <w14:solidFill>
              <w14:schemeClr w14:val="tx1"/>
            </w14:solidFill>
          </w14:textFill>
        </w:rPr>
        <w:t>北京证券交易所上市</w:t>
      </w:r>
      <w:r>
        <w:rPr>
          <w:rFonts w:ascii="Times New Roman" w:hAnsi="Times New Roman" w:eastAsia="方正大标宋简体"/>
          <w:color w:val="000000" w:themeColor="text1"/>
          <w:sz w:val="44"/>
          <w:szCs w:val="42"/>
          <w14:textFill>
            <w14:solidFill>
              <w14:schemeClr w14:val="tx1"/>
            </w14:solidFill>
          </w14:textFill>
        </w:rPr>
        <w:t>公司持续</w:t>
      </w:r>
      <w:r>
        <w:rPr>
          <w:rFonts w:hint="eastAsia" w:ascii="Times New Roman" w:hAnsi="Times New Roman" w:eastAsia="方正大标宋简体"/>
          <w:color w:val="000000" w:themeColor="text1"/>
          <w:sz w:val="44"/>
          <w:szCs w:val="42"/>
          <w14:textFill>
            <w14:solidFill>
              <w14:schemeClr w14:val="tx1"/>
            </w14:solidFill>
          </w14:textFill>
        </w:rPr>
        <w:t>监管指引</w:t>
      </w:r>
    </w:p>
    <w:p>
      <w:pPr>
        <w:widowControl/>
        <w:shd w:val="clear" w:color="auto" w:fill="FFFFFF"/>
        <w:spacing w:line="600" w:lineRule="exact"/>
        <w:jc w:val="center"/>
        <w:outlineLvl w:val="0"/>
        <w:rPr>
          <w:rFonts w:ascii="Times New Roman" w:hAnsi="Times New Roman" w:eastAsia="方正大标宋简体"/>
          <w:color w:val="000000" w:themeColor="text1"/>
          <w:sz w:val="44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大标宋简体"/>
          <w:color w:val="000000" w:themeColor="text1"/>
          <w:sz w:val="44"/>
          <w:szCs w:val="4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Times New Roman" w:hAnsi="Times New Roman" w:eastAsia="方正大标宋简体"/>
          <w:color w:val="000000" w:themeColor="text1"/>
          <w:sz w:val="44"/>
          <w:szCs w:val="4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Times New Roman" w:hAnsi="Times New Roman" w:eastAsia="方正大标宋简体"/>
          <w:color w:val="000000" w:themeColor="text1"/>
          <w:sz w:val="44"/>
          <w:szCs w:val="42"/>
          <w14:textFill>
            <w14:solidFill>
              <w14:schemeClr w14:val="tx1"/>
            </w14:solidFill>
          </w14:textFill>
        </w:rPr>
        <w:t>号</w:t>
      </w:r>
      <w:r>
        <w:rPr>
          <w:rFonts w:ascii="Times New Roman" w:hAnsi="Times New Roman" w:eastAsia="方正大标宋简体"/>
          <w:color w:val="000000" w:themeColor="text1"/>
          <w:sz w:val="44"/>
          <w:szCs w:val="42"/>
          <w14:textFill>
            <w14:solidFill>
              <w14:schemeClr w14:val="tx1"/>
            </w14:solidFill>
          </w14:textFill>
        </w:rPr>
        <w:t>——转板</w:t>
      </w:r>
    </w:p>
    <w:p>
      <w:pPr>
        <w:widowControl/>
        <w:shd w:val="clear" w:color="auto" w:fill="FFFFFF"/>
        <w:spacing w:line="600" w:lineRule="exact"/>
        <w:jc w:val="center"/>
        <w:rPr>
          <w:rFonts w:ascii="Times New Roman" w:hAnsi="Times New Roman" w:eastAsia="方正大标宋简体"/>
          <w:color w:val="000000" w:themeColor="text1"/>
          <w:sz w:val="44"/>
          <w:szCs w:val="42"/>
          <w14:textFill>
            <w14:solidFill>
              <w14:schemeClr w14:val="tx1"/>
            </w14:solidFill>
          </w14:textFill>
        </w:rPr>
      </w:pPr>
    </w:p>
    <w:p>
      <w:pPr>
        <w:tabs>
          <w:tab w:val="left" w:pos="7597"/>
        </w:tabs>
        <w:ind w:firstLine="642" w:firstLineChars="200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第一条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为了</w:t>
      </w:r>
      <w:r>
        <w:rPr>
          <w:rFonts w:ascii="方正仿宋简体" w:hAnsi="Times New Roman" w:eastAsia="方正仿宋简体" w:cs="Times New Roman"/>
          <w:sz w:val="32"/>
          <w:szCs w:val="32"/>
        </w:rPr>
        <w:t>规范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北京证券交易所（以下简称本所）上市公司转板相关</w:t>
      </w:r>
      <w:r>
        <w:rPr>
          <w:rFonts w:ascii="方正仿宋简体" w:hAnsi="Times New Roman" w:eastAsia="方正仿宋简体" w:cs="Times New Roman"/>
          <w:sz w:val="32"/>
          <w:szCs w:val="32"/>
        </w:rPr>
        <w:t>信息披露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、</w:t>
      </w:r>
      <w:r>
        <w:rPr>
          <w:rFonts w:ascii="方正仿宋简体" w:hAnsi="Times New Roman" w:eastAsia="方正仿宋简体" w:cs="Times New Roman"/>
          <w:sz w:val="32"/>
          <w:szCs w:val="32"/>
        </w:rPr>
        <w:t>股票停复牌、终止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上市等</w:t>
      </w:r>
      <w:r>
        <w:rPr>
          <w:rFonts w:ascii="方正仿宋简体" w:hAnsi="Times New Roman" w:eastAsia="方正仿宋简体" w:cs="Times New Roman"/>
          <w:sz w:val="32"/>
          <w:szCs w:val="32"/>
        </w:rPr>
        <w:t>行为，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保护</w:t>
      </w:r>
      <w:r>
        <w:rPr>
          <w:rFonts w:ascii="方正仿宋简体" w:hAnsi="Times New Roman" w:eastAsia="方正仿宋简体" w:cs="Times New Roman"/>
          <w:sz w:val="32"/>
          <w:szCs w:val="32"/>
        </w:rPr>
        <w:t>投资者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合法</w:t>
      </w:r>
      <w:r>
        <w:rPr>
          <w:rFonts w:ascii="方正仿宋简体" w:hAnsi="Times New Roman" w:eastAsia="方正仿宋简体" w:cs="Times New Roman"/>
          <w:sz w:val="32"/>
          <w:szCs w:val="32"/>
        </w:rPr>
        <w:t>权益，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根据《中国</w:t>
      </w:r>
      <w:r>
        <w:rPr>
          <w:rFonts w:ascii="方正仿宋简体" w:hAnsi="Times New Roman" w:eastAsia="方正仿宋简体" w:cs="Times New Roman"/>
          <w:sz w:val="32"/>
          <w:szCs w:val="32"/>
        </w:rPr>
        <w:t>证监会关于北京证券交易所上市公司转板的指导意见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》《北京证券交易所股票上市规则（试行）》等</w:t>
      </w:r>
      <w:r>
        <w:rPr>
          <w:rFonts w:ascii="方正仿宋简体" w:hAnsi="Times New Roman" w:eastAsia="方正仿宋简体" w:cs="Times New Roman"/>
          <w:sz w:val="32"/>
          <w:szCs w:val="32"/>
        </w:rPr>
        <w:t>规定，制定本指引。</w:t>
      </w:r>
    </w:p>
    <w:p>
      <w:pPr>
        <w:tabs>
          <w:tab w:val="left" w:pos="7597"/>
        </w:tabs>
        <w:ind w:firstLine="642" w:firstLineChars="200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b/>
          <w:sz w:val="32"/>
          <w:szCs w:val="32"/>
        </w:rPr>
        <w:t>第二条</w:t>
      </w:r>
      <w:r>
        <w:rPr>
          <w:rFonts w:hint="eastAsia" w:ascii="方正仿宋简体" w:hAnsi="Times New Roman" w:eastAsia="方正仿宋简体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上市公司向上海证券交易所（以下简称上交所）或者深圳证券交易所（以下简称深交所）申请转板有关事宜适用本指引；</w:t>
      </w:r>
      <w:r>
        <w:rPr>
          <w:rFonts w:ascii="方正仿宋简体" w:hAnsi="Times New Roman" w:eastAsia="方正仿宋简体" w:cs="Times New Roman"/>
          <w:sz w:val="32"/>
          <w:szCs w:val="32"/>
        </w:rPr>
        <w:t>本指引未作规定的，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适用本所其他有关规定。</w:t>
      </w:r>
    </w:p>
    <w:p>
      <w:pPr>
        <w:tabs>
          <w:tab w:val="center" w:pos="4474"/>
        </w:tabs>
        <w:ind w:firstLine="642" w:firstLineChars="200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b/>
          <w:sz w:val="32"/>
          <w:szCs w:val="32"/>
        </w:rPr>
        <w:t>第三条</w:t>
      </w:r>
      <w:r>
        <w:rPr>
          <w:rFonts w:hint="eastAsia" w:ascii="方正仿宋简体" w:hAnsi="Times New Roman" w:eastAsia="方正仿宋简体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上市</w:t>
      </w:r>
      <w:r>
        <w:rPr>
          <w:rFonts w:ascii="方正仿宋简体" w:hAnsi="Times New Roman" w:eastAsia="方正仿宋简体" w:cs="Times New Roman"/>
          <w:sz w:val="32"/>
          <w:szCs w:val="32"/>
        </w:rPr>
        <w:t>公司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筹划</w:t>
      </w:r>
      <w:r>
        <w:rPr>
          <w:rFonts w:ascii="方正仿宋简体" w:hAnsi="Times New Roman" w:eastAsia="方正仿宋简体" w:cs="Times New Roman"/>
          <w:sz w:val="32"/>
          <w:szCs w:val="32"/>
        </w:rPr>
        <w:t>转板相关事宜，应当做好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保密</w:t>
      </w:r>
      <w:r>
        <w:rPr>
          <w:rFonts w:ascii="方正仿宋简体" w:hAnsi="Times New Roman" w:eastAsia="方正仿宋简体" w:cs="Times New Roman"/>
          <w:sz w:val="32"/>
          <w:szCs w:val="32"/>
        </w:rPr>
        <w:t>工作，控制知情人范围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。上市</w:t>
      </w:r>
      <w:r>
        <w:rPr>
          <w:rFonts w:ascii="方正仿宋简体" w:hAnsi="Times New Roman" w:eastAsia="方正仿宋简体" w:cs="Times New Roman"/>
          <w:sz w:val="32"/>
          <w:szCs w:val="32"/>
        </w:rPr>
        <w:t>公司控股股东、实际控制人、董事、监事、高级管理人员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及</w:t>
      </w:r>
      <w:r>
        <w:rPr>
          <w:rFonts w:ascii="方正仿宋简体" w:hAnsi="Times New Roman" w:eastAsia="方正仿宋简体" w:cs="Times New Roman"/>
          <w:sz w:val="32"/>
          <w:szCs w:val="32"/>
        </w:rPr>
        <w:t>其他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内幕</w:t>
      </w:r>
      <w:r>
        <w:rPr>
          <w:rFonts w:ascii="方正仿宋简体" w:hAnsi="Times New Roman" w:eastAsia="方正仿宋简体" w:cs="Times New Roman"/>
          <w:sz w:val="32"/>
          <w:szCs w:val="32"/>
        </w:rPr>
        <w:t>信息知情人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在相关</w:t>
      </w:r>
      <w:r>
        <w:rPr>
          <w:rFonts w:ascii="方正仿宋简体" w:hAnsi="Times New Roman" w:eastAsia="方正仿宋简体" w:cs="Times New Roman"/>
          <w:sz w:val="32"/>
          <w:szCs w:val="32"/>
        </w:rPr>
        <w:t>信息披露前，不得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买卖</w:t>
      </w:r>
      <w:r>
        <w:rPr>
          <w:rFonts w:ascii="方正仿宋简体" w:hAnsi="Times New Roman" w:eastAsia="方正仿宋简体" w:cs="Times New Roman"/>
          <w:sz w:val="32"/>
          <w:szCs w:val="32"/>
        </w:rPr>
        <w:t>公司证券，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不得</w:t>
      </w:r>
      <w:r>
        <w:rPr>
          <w:rFonts w:ascii="方正仿宋简体" w:hAnsi="Times New Roman" w:eastAsia="方正仿宋简体" w:cs="Times New Roman"/>
          <w:sz w:val="32"/>
          <w:szCs w:val="32"/>
        </w:rPr>
        <w:t>泄露内幕信息，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不得</w:t>
      </w:r>
      <w:r>
        <w:rPr>
          <w:rFonts w:ascii="方正仿宋简体" w:hAnsi="Times New Roman" w:eastAsia="方正仿宋简体" w:cs="Times New Roman"/>
          <w:sz w:val="32"/>
          <w:szCs w:val="32"/>
        </w:rPr>
        <w:t>建议他人买卖公司证券。</w:t>
      </w:r>
    </w:p>
    <w:p>
      <w:pPr>
        <w:tabs>
          <w:tab w:val="center" w:pos="4474"/>
        </w:tabs>
        <w:ind w:firstLine="642" w:firstLineChars="200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</w:rPr>
        <w:t>第</w:t>
      </w:r>
      <w:r>
        <w:rPr>
          <w:rFonts w:hint="eastAsia" w:ascii="方正仿宋简体" w:hAnsi="Times New Roman" w:eastAsia="方正仿宋简体" w:cs="Times New Roman"/>
          <w:b/>
          <w:sz w:val="32"/>
          <w:szCs w:val="32"/>
        </w:rPr>
        <w:t>四条</w:t>
      </w:r>
      <w:r>
        <w:rPr>
          <w:rFonts w:hint="eastAsia" w:ascii="方正仿宋简体" w:hAnsi="Times New Roman" w:eastAsia="方正仿宋简体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Times New Roman" w:eastAsia="方正仿宋简体" w:cs="Times New Roman"/>
          <w:sz w:val="32"/>
          <w:szCs w:val="32"/>
          <w:lang w:eastAsia="zh-CN"/>
        </w:rPr>
        <w:t>上市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公司申请</w:t>
      </w:r>
      <w:r>
        <w:rPr>
          <w:rFonts w:ascii="方正仿宋简体" w:hAnsi="Times New Roman" w:eastAsia="方正仿宋简体" w:cs="Times New Roman"/>
          <w:sz w:val="32"/>
          <w:szCs w:val="32"/>
        </w:rPr>
        <w:t>转板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的</w:t>
      </w:r>
      <w:r>
        <w:rPr>
          <w:rFonts w:ascii="方正仿宋简体" w:hAnsi="Times New Roman" w:eastAsia="方正仿宋简体" w:cs="Times New Roman"/>
          <w:sz w:val="32"/>
          <w:szCs w:val="32"/>
        </w:rPr>
        <w:t>，应当按照本指引及</w:t>
      </w:r>
      <w:r>
        <w:rPr>
          <w:rFonts w:hint="eastAsia" w:ascii="方正仿宋简体" w:hAnsi="Times New Roman" w:eastAsia="方正仿宋简体" w:cs="Times New Roman"/>
          <w:sz w:val="32"/>
          <w:szCs w:val="32"/>
          <w:lang w:eastAsia="zh-CN"/>
        </w:rPr>
        <w:t>本所</w:t>
      </w:r>
      <w:r>
        <w:rPr>
          <w:rFonts w:ascii="方正仿宋简体" w:hAnsi="Times New Roman" w:eastAsia="方正仿宋简体" w:cs="Times New Roman"/>
          <w:sz w:val="32"/>
          <w:szCs w:val="32"/>
        </w:rPr>
        <w:t>有关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规定，</w:t>
      </w:r>
      <w:r>
        <w:rPr>
          <w:rFonts w:ascii="方正仿宋简体" w:hAnsi="Times New Roman" w:eastAsia="方正仿宋简体" w:cs="Times New Roman"/>
          <w:sz w:val="32"/>
          <w:szCs w:val="32"/>
        </w:rPr>
        <w:t>规范履行信息披露义务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。</w:t>
      </w:r>
    </w:p>
    <w:p>
      <w:pPr>
        <w:tabs>
          <w:tab w:val="center" w:pos="4474"/>
        </w:tabs>
        <w:ind w:firstLine="640" w:firstLineChars="200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>除依法依规需要</w:t>
      </w:r>
      <w:r>
        <w:rPr>
          <w:rFonts w:ascii="方正仿宋简体" w:hAnsi="Times New Roman" w:eastAsia="方正仿宋简体" w:cs="Times New Roman"/>
          <w:sz w:val="32"/>
          <w:szCs w:val="32"/>
        </w:rPr>
        <w:t>披露的信息外，</w:t>
      </w:r>
      <w:r>
        <w:rPr>
          <w:rFonts w:hint="eastAsia" w:ascii="方正仿宋简体" w:hAnsi="Times New Roman" w:eastAsia="方正仿宋简体" w:cs="Times New Roman"/>
          <w:sz w:val="32"/>
          <w:szCs w:val="32"/>
          <w:lang w:eastAsia="zh-CN"/>
        </w:rPr>
        <w:t>上市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公司可以</w:t>
      </w:r>
      <w:r>
        <w:rPr>
          <w:rFonts w:ascii="方正仿宋简体" w:hAnsi="Times New Roman" w:eastAsia="方正仿宋简体" w:cs="Times New Roman"/>
          <w:sz w:val="32"/>
          <w:szCs w:val="32"/>
        </w:rPr>
        <w:t>自愿披露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与投资者作出价值判断和投资决策有关的</w:t>
      </w:r>
      <w:r>
        <w:rPr>
          <w:rFonts w:ascii="方正仿宋简体" w:hAnsi="Times New Roman" w:eastAsia="方正仿宋简体" w:cs="Times New Roman"/>
          <w:sz w:val="32"/>
          <w:szCs w:val="32"/>
        </w:rPr>
        <w:t>转板相关信息，但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应当</w:t>
      </w:r>
      <w:r>
        <w:rPr>
          <w:rFonts w:ascii="方正仿宋简体" w:hAnsi="Times New Roman" w:eastAsia="方正仿宋简体" w:cs="Times New Roman"/>
          <w:sz w:val="32"/>
          <w:szCs w:val="32"/>
        </w:rPr>
        <w:t>基于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客观</w:t>
      </w:r>
      <w:r>
        <w:rPr>
          <w:rFonts w:ascii="方正仿宋简体" w:hAnsi="Times New Roman" w:eastAsia="方正仿宋简体" w:cs="Times New Roman"/>
          <w:sz w:val="32"/>
          <w:szCs w:val="32"/>
        </w:rPr>
        <w:t>事实，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不得</w:t>
      </w:r>
      <w:r>
        <w:rPr>
          <w:rFonts w:ascii="方正仿宋简体" w:hAnsi="Times New Roman" w:eastAsia="方正仿宋简体" w:cs="Times New Roman"/>
          <w:sz w:val="32"/>
          <w:szCs w:val="32"/>
        </w:rPr>
        <w:t>与依法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依规</w:t>
      </w:r>
      <w:r>
        <w:rPr>
          <w:rFonts w:ascii="方正仿宋简体" w:hAnsi="Times New Roman" w:eastAsia="方正仿宋简体" w:cs="Times New Roman"/>
          <w:sz w:val="32"/>
          <w:szCs w:val="32"/>
        </w:rPr>
        <w:t>披露的信息相冲突，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不得</w:t>
      </w:r>
      <w:r>
        <w:rPr>
          <w:rFonts w:ascii="方正仿宋简体" w:hAnsi="Times New Roman" w:eastAsia="方正仿宋简体" w:cs="Times New Roman"/>
          <w:sz w:val="32"/>
          <w:szCs w:val="32"/>
        </w:rPr>
        <w:t>误导投资者。</w:t>
      </w:r>
      <w:r>
        <w:rPr>
          <w:rFonts w:hint="eastAsia" w:ascii="方正仿宋简体" w:hAnsi="Times New Roman" w:eastAsia="方正仿宋简体" w:cs="Times New Roman"/>
          <w:sz w:val="32"/>
          <w:szCs w:val="32"/>
          <w:lang w:eastAsia="zh-CN"/>
        </w:rPr>
        <w:t>上市</w:t>
      </w:r>
      <w:r>
        <w:rPr>
          <w:rFonts w:ascii="方正仿宋简体" w:hAnsi="Times New Roman" w:eastAsia="方正仿宋简体" w:cs="Times New Roman"/>
          <w:sz w:val="32"/>
          <w:szCs w:val="32"/>
        </w:rPr>
        <w:t>公司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应当</w:t>
      </w:r>
      <w:r>
        <w:rPr>
          <w:rFonts w:ascii="方正仿宋简体" w:hAnsi="Times New Roman" w:eastAsia="方正仿宋简体" w:cs="Times New Roman"/>
          <w:sz w:val="32"/>
          <w:szCs w:val="32"/>
        </w:rPr>
        <w:t>在公告内容中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说明已实际</w:t>
      </w:r>
      <w:r>
        <w:rPr>
          <w:rFonts w:ascii="方正仿宋简体" w:hAnsi="Times New Roman" w:eastAsia="方正仿宋简体" w:cs="Times New Roman"/>
          <w:sz w:val="32"/>
          <w:szCs w:val="32"/>
        </w:rPr>
        <w:t>开展的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相关</w:t>
      </w:r>
      <w:r>
        <w:rPr>
          <w:rFonts w:ascii="方正仿宋简体" w:hAnsi="Times New Roman" w:eastAsia="方正仿宋简体" w:cs="Times New Roman"/>
          <w:sz w:val="32"/>
          <w:szCs w:val="32"/>
        </w:rPr>
        <w:t>工作具体情况，并向投资者充分揭示风险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。</w:t>
      </w:r>
      <w:r>
        <w:rPr>
          <w:rFonts w:hint="eastAsia" w:ascii="方正仿宋简体" w:hAnsi="Times New Roman" w:eastAsia="方正仿宋简体" w:cs="Times New Roman"/>
          <w:sz w:val="32"/>
          <w:szCs w:val="32"/>
          <w:lang w:eastAsia="zh-CN"/>
        </w:rPr>
        <w:t>保荐机构</w:t>
      </w:r>
      <w:r>
        <w:rPr>
          <w:rFonts w:ascii="方正仿宋简体" w:hAnsi="Times New Roman" w:eastAsia="方正仿宋简体" w:cs="Times New Roman"/>
          <w:sz w:val="32"/>
          <w:szCs w:val="32"/>
        </w:rPr>
        <w:t>应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审慎评估披露此类公告的必要性、合理性，</w:t>
      </w:r>
      <w:r>
        <w:rPr>
          <w:rFonts w:ascii="方正仿宋简体" w:hAnsi="Times New Roman" w:eastAsia="方正仿宋简体" w:cs="Times New Roman"/>
          <w:sz w:val="32"/>
          <w:szCs w:val="32"/>
        </w:rPr>
        <w:t>督促</w:t>
      </w:r>
      <w:r>
        <w:rPr>
          <w:rFonts w:hint="eastAsia" w:ascii="方正仿宋简体" w:hAnsi="Times New Roman" w:eastAsia="方正仿宋简体" w:cs="Times New Roman"/>
          <w:sz w:val="32"/>
          <w:szCs w:val="32"/>
          <w:lang w:eastAsia="zh-CN"/>
        </w:rPr>
        <w:t>上市</w:t>
      </w:r>
      <w:r>
        <w:rPr>
          <w:rFonts w:ascii="方正仿宋简体" w:hAnsi="Times New Roman" w:eastAsia="方正仿宋简体" w:cs="Times New Roman"/>
          <w:sz w:val="32"/>
          <w:szCs w:val="32"/>
        </w:rPr>
        <w:t>公司规范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履行</w:t>
      </w:r>
      <w:r>
        <w:rPr>
          <w:rFonts w:ascii="方正仿宋简体" w:hAnsi="Times New Roman" w:eastAsia="方正仿宋简体" w:cs="Times New Roman"/>
          <w:sz w:val="32"/>
          <w:szCs w:val="32"/>
        </w:rPr>
        <w:t>信息披露义务。</w:t>
      </w:r>
    </w:p>
    <w:p>
      <w:pPr>
        <w:tabs>
          <w:tab w:val="center" w:pos="4474"/>
        </w:tabs>
        <w:ind w:firstLine="642" w:firstLineChars="200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</w:rPr>
        <w:t>第</w:t>
      </w: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  <w:lang w:eastAsia="zh-CN"/>
        </w:rPr>
        <w:t>五</w:t>
      </w: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</w:rPr>
        <w:t>条</w:t>
      </w: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上市公司董事会应当就公司拟申请转板相关事宜作出决议，并提请股东大会批准。</w:t>
      </w:r>
    </w:p>
    <w:p>
      <w:pPr>
        <w:tabs>
          <w:tab w:val="center" w:pos="4474"/>
        </w:tabs>
        <w:ind w:firstLine="642" w:firstLineChars="200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</w:rPr>
        <w:t>第</w:t>
      </w: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  <w:lang w:eastAsia="zh-CN"/>
        </w:rPr>
        <w:t>六</w:t>
      </w: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</w:rPr>
        <w:t>条</w:t>
      </w: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上市</w:t>
      </w:r>
      <w:r>
        <w:rPr>
          <w:rFonts w:ascii="方正仿宋简体" w:hAnsi="Times New Roman" w:eastAsia="方正仿宋简体" w:cs="Times New Roman"/>
          <w:sz w:val="32"/>
          <w:szCs w:val="32"/>
        </w:rPr>
        <w:t>公司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股东</w:t>
      </w:r>
      <w:r>
        <w:rPr>
          <w:rFonts w:ascii="方正仿宋简体" w:hAnsi="Times New Roman" w:eastAsia="方正仿宋简体" w:cs="Times New Roman"/>
          <w:sz w:val="32"/>
          <w:szCs w:val="32"/>
        </w:rPr>
        <w:t>大会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就公司拟申请转板相关事宜作出</w:t>
      </w:r>
      <w:r>
        <w:rPr>
          <w:rFonts w:ascii="方正仿宋简体" w:hAnsi="Times New Roman" w:eastAsia="方正仿宋简体" w:cs="Times New Roman"/>
          <w:sz w:val="32"/>
          <w:szCs w:val="32"/>
        </w:rPr>
        <w:t>决议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，至少应当包括下列事项：</w:t>
      </w:r>
    </w:p>
    <w:p>
      <w:pPr>
        <w:tabs>
          <w:tab w:val="center" w:pos="4474"/>
        </w:tabs>
        <w:ind w:firstLine="640" w:firstLineChars="200"/>
        <w:outlineLvl w:val="0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>（一）</w:t>
      </w:r>
      <w:r>
        <w:rPr>
          <w:rFonts w:ascii="方正仿宋简体" w:hAnsi="Times New Roman" w:eastAsia="方正仿宋简体" w:cs="Times New Roman"/>
          <w:sz w:val="32"/>
          <w:szCs w:val="32"/>
        </w:rPr>
        <w:t>转板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板块</w:t>
      </w:r>
      <w:r>
        <w:rPr>
          <w:rFonts w:ascii="方正仿宋简体" w:hAnsi="Times New Roman" w:eastAsia="方正仿宋简体" w:cs="Times New Roman"/>
          <w:sz w:val="32"/>
          <w:szCs w:val="32"/>
        </w:rPr>
        <w:t>；</w:t>
      </w:r>
    </w:p>
    <w:p>
      <w:pPr>
        <w:tabs>
          <w:tab w:val="center" w:pos="4474"/>
        </w:tabs>
        <w:ind w:firstLine="640" w:firstLineChars="200"/>
        <w:outlineLvl w:val="0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>（二）转板</w:t>
      </w:r>
      <w:r>
        <w:rPr>
          <w:rFonts w:ascii="方正仿宋简体" w:hAnsi="Times New Roman" w:eastAsia="方正仿宋简体" w:cs="Times New Roman"/>
          <w:sz w:val="32"/>
          <w:szCs w:val="32"/>
        </w:rPr>
        <w:t>的证券种类和数量；</w:t>
      </w:r>
    </w:p>
    <w:p>
      <w:pPr>
        <w:tabs>
          <w:tab w:val="center" w:pos="4474"/>
        </w:tabs>
        <w:ind w:firstLine="640" w:firstLineChars="200"/>
        <w:outlineLvl w:val="0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>（三）以获得</w:t>
      </w:r>
      <w:r>
        <w:rPr>
          <w:rFonts w:ascii="方正仿宋简体" w:hAnsi="Times New Roman" w:eastAsia="方正仿宋简体" w:cs="Times New Roman"/>
          <w:sz w:val="32"/>
          <w:szCs w:val="32"/>
        </w:rPr>
        <w:t>转板同意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为</w:t>
      </w:r>
      <w:r>
        <w:rPr>
          <w:rFonts w:ascii="方正仿宋简体" w:hAnsi="Times New Roman" w:eastAsia="方正仿宋简体" w:cs="Times New Roman"/>
          <w:sz w:val="32"/>
          <w:szCs w:val="32"/>
        </w:rPr>
        <w:t>生效条件的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股票终止上市事项；</w:t>
      </w:r>
    </w:p>
    <w:p>
      <w:pPr>
        <w:tabs>
          <w:tab w:val="center" w:pos="4474"/>
        </w:tabs>
        <w:ind w:firstLine="640" w:firstLineChars="200"/>
        <w:outlineLvl w:val="0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>（四）决议</w:t>
      </w:r>
      <w:r>
        <w:rPr>
          <w:rFonts w:ascii="方正仿宋简体" w:hAnsi="Times New Roman" w:eastAsia="方正仿宋简体" w:cs="Times New Roman"/>
          <w:sz w:val="32"/>
          <w:szCs w:val="32"/>
        </w:rPr>
        <w:t>有效期；</w:t>
      </w:r>
    </w:p>
    <w:p>
      <w:pPr>
        <w:tabs>
          <w:tab w:val="center" w:pos="4474"/>
        </w:tabs>
        <w:ind w:firstLine="640" w:firstLineChars="200"/>
        <w:outlineLvl w:val="0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>（五）对</w:t>
      </w:r>
      <w:r>
        <w:rPr>
          <w:rFonts w:ascii="方正仿宋简体" w:hAnsi="Times New Roman" w:eastAsia="方正仿宋简体" w:cs="Times New Roman"/>
          <w:sz w:val="32"/>
          <w:szCs w:val="32"/>
        </w:rPr>
        <w:t>董事会办理本次转板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具体</w:t>
      </w:r>
      <w:r>
        <w:rPr>
          <w:rFonts w:ascii="方正仿宋简体" w:hAnsi="Times New Roman" w:eastAsia="方正仿宋简体" w:cs="Times New Roman"/>
          <w:sz w:val="32"/>
          <w:szCs w:val="32"/>
        </w:rPr>
        <w:t>事宜的授权；</w:t>
      </w:r>
    </w:p>
    <w:p>
      <w:pPr>
        <w:tabs>
          <w:tab w:val="center" w:pos="4474"/>
        </w:tabs>
        <w:ind w:firstLine="640" w:firstLineChars="200"/>
        <w:outlineLvl w:val="0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>（六）其他应当</w:t>
      </w:r>
      <w:r>
        <w:rPr>
          <w:rFonts w:ascii="方正仿宋简体" w:hAnsi="Times New Roman" w:eastAsia="方正仿宋简体" w:cs="Times New Roman"/>
          <w:sz w:val="32"/>
          <w:szCs w:val="32"/>
        </w:rPr>
        <w:t>明确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的事项</w:t>
      </w:r>
      <w:r>
        <w:rPr>
          <w:rFonts w:ascii="方正仿宋简体" w:hAnsi="Times New Roman" w:eastAsia="方正仿宋简体" w:cs="Times New Roman"/>
          <w:sz w:val="32"/>
          <w:szCs w:val="32"/>
        </w:rPr>
        <w:t>。</w:t>
      </w:r>
    </w:p>
    <w:p>
      <w:pPr>
        <w:tabs>
          <w:tab w:val="center" w:pos="4474"/>
        </w:tabs>
        <w:ind w:firstLine="642" w:firstLineChars="200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</w:rPr>
        <w:t>第</w:t>
      </w: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  <w:lang w:eastAsia="zh-CN"/>
        </w:rPr>
        <w:t>七</w:t>
      </w: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</w:rPr>
        <w:t>条</w:t>
      </w: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上市公司董事会和</w:t>
      </w:r>
      <w:r>
        <w:rPr>
          <w:rFonts w:ascii="方正仿宋简体" w:hAnsi="Times New Roman" w:eastAsia="方正仿宋简体" w:cs="Times New Roman"/>
          <w:sz w:val="32"/>
          <w:szCs w:val="32"/>
        </w:rPr>
        <w:t>股东大会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根据</w:t>
      </w:r>
      <w:r>
        <w:rPr>
          <w:rFonts w:ascii="方正仿宋简体" w:hAnsi="Times New Roman" w:eastAsia="方正仿宋简体" w:cs="Times New Roman"/>
          <w:sz w:val="32"/>
          <w:szCs w:val="32"/>
        </w:rPr>
        <w:t>本指引第</w:t>
      </w:r>
      <w:r>
        <w:rPr>
          <w:rFonts w:hint="eastAsia" w:ascii="方正仿宋简体" w:hAnsi="Times New Roman" w:eastAsia="方正仿宋简体" w:cs="Times New Roman"/>
          <w:sz w:val="32"/>
          <w:szCs w:val="32"/>
          <w:lang w:eastAsia="zh-CN"/>
        </w:rPr>
        <w:t>六</w:t>
      </w:r>
      <w:r>
        <w:rPr>
          <w:rFonts w:ascii="方正仿宋简体" w:hAnsi="Times New Roman" w:eastAsia="方正仿宋简体" w:cs="Times New Roman"/>
          <w:sz w:val="32"/>
          <w:szCs w:val="32"/>
        </w:rPr>
        <w:t>条规定作出决议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时，</w:t>
      </w:r>
      <w:r>
        <w:rPr>
          <w:rFonts w:ascii="方正仿宋简体" w:hAnsi="Times New Roman" w:eastAsia="方正仿宋简体" w:cs="Times New Roman"/>
          <w:sz w:val="32"/>
          <w:szCs w:val="32"/>
        </w:rPr>
        <w:t>应当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按照</w:t>
      </w:r>
      <w:r>
        <w:rPr>
          <w:rFonts w:ascii="方正仿宋简体" w:hAnsi="Times New Roman" w:eastAsia="方正仿宋简体" w:cs="Times New Roman"/>
          <w:sz w:val="32"/>
          <w:szCs w:val="32"/>
        </w:rPr>
        <w:t>本所信息披露有关规定，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及时</w:t>
      </w:r>
      <w:r>
        <w:rPr>
          <w:rFonts w:ascii="方正仿宋简体" w:hAnsi="Times New Roman" w:eastAsia="方正仿宋简体" w:cs="Times New Roman"/>
          <w:sz w:val="32"/>
          <w:szCs w:val="32"/>
        </w:rPr>
        <w:t>披露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董事会和</w:t>
      </w:r>
      <w:r>
        <w:rPr>
          <w:rFonts w:ascii="方正仿宋简体" w:hAnsi="Times New Roman" w:eastAsia="方正仿宋简体" w:cs="Times New Roman"/>
          <w:sz w:val="32"/>
          <w:szCs w:val="32"/>
        </w:rPr>
        <w:t>股东大会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决议</w:t>
      </w:r>
      <w:r>
        <w:rPr>
          <w:rFonts w:ascii="方正仿宋简体" w:hAnsi="Times New Roman" w:eastAsia="方正仿宋简体" w:cs="Times New Roman"/>
          <w:sz w:val="32"/>
          <w:szCs w:val="32"/>
        </w:rPr>
        <w:t>公告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，并在披露</w:t>
      </w:r>
      <w:r>
        <w:rPr>
          <w:rFonts w:ascii="方正仿宋简体" w:hAnsi="Times New Roman" w:eastAsia="方正仿宋简体" w:cs="Times New Roman"/>
          <w:sz w:val="32"/>
          <w:szCs w:val="32"/>
        </w:rPr>
        <w:t>董事会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决议</w:t>
      </w:r>
      <w:r>
        <w:rPr>
          <w:rFonts w:ascii="方正仿宋简体" w:hAnsi="Times New Roman" w:eastAsia="方正仿宋简体" w:cs="Times New Roman"/>
          <w:sz w:val="32"/>
          <w:szCs w:val="32"/>
        </w:rPr>
        <w:t>公告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同时披露</w:t>
      </w:r>
      <w:r>
        <w:rPr>
          <w:rFonts w:hint="eastAsia" w:ascii="方正仿宋简体" w:hAnsi="Times New Roman" w:eastAsia="方正仿宋简体" w:cs="Times New Roman"/>
          <w:sz w:val="32"/>
          <w:szCs w:val="32"/>
          <w:lang w:eastAsia="zh-CN"/>
        </w:rPr>
        <w:t>关于董事会审议转板相关事宜的提示性公告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，</w:t>
      </w:r>
      <w:r>
        <w:rPr>
          <w:rFonts w:ascii="方正仿宋简体" w:hAnsi="Times New Roman" w:eastAsia="方正仿宋简体" w:cs="Times New Roman"/>
          <w:sz w:val="32"/>
          <w:szCs w:val="32"/>
        </w:rPr>
        <w:t>内容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至少</w:t>
      </w:r>
      <w:r>
        <w:rPr>
          <w:rFonts w:ascii="方正仿宋简体" w:hAnsi="Times New Roman" w:eastAsia="方正仿宋简体" w:cs="Times New Roman"/>
          <w:sz w:val="32"/>
          <w:szCs w:val="32"/>
        </w:rPr>
        <w:t>应当包括：</w:t>
      </w:r>
    </w:p>
    <w:p>
      <w:pPr>
        <w:tabs>
          <w:tab w:val="center" w:pos="4474"/>
        </w:tabs>
        <w:ind w:firstLine="640" w:firstLineChars="200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>（一）董事会</w:t>
      </w:r>
      <w:r>
        <w:rPr>
          <w:rFonts w:ascii="方正仿宋简体" w:hAnsi="Times New Roman" w:eastAsia="方正仿宋简体" w:cs="Times New Roman"/>
          <w:sz w:val="32"/>
          <w:szCs w:val="32"/>
        </w:rPr>
        <w:t>审议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拟</w:t>
      </w:r>
      <w:r>
        <w:rPr>
          <w:rFonts w:ascii="方正仿宋简体" w:hAnsi="Times New Roman" w:eastAsia="方正仿宋简体" w:cs="Times New Roman"/>
          <w:sz w:val="32"/>
          <w:szCs w:val="32"/>
        </w:rPr>
        <w:t>申请转板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相关</w:t>
      </w:r>
      <w:r>
        <w:rPr>
          <w:rFonts w:ascii="方正仿宋简体" w:hAnsi="Times New Roman" w:eastAsia="方正仿宋简体" w:cs="Times New Roman"/>
          <w:sz w:val="32"/>
          <w:szCs w:val="32"/>
        </w:rPr>
        <w:t>事宜的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时间</w:t>
      </w:r>
      <w:r>
        <w:rPr>
          <w:rFonts w:ascii="方正仿宋简体" w:hAnsi="Times New Roman" w:eastAsia="方正仿宋简体" w:cs="Times New Roman"/>
          <w:sz w:val="32"/>
          <w:szCs w:val="32"/>
        </w:rPr>
        <w:t>、审议结果等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基本</w:t>
      </w:r>
      <w:r>
        <w:rPr>
          <w:rFonts w:ascii="方正仿宋简体" w:hAnsi="Times New Roman" w:eastAsia="方正仿宋简体" w:cs="Times New Roman"/>
          <w:sz w:val="32"/>
          <w:szCs w:val="32"/>
        </w:rPr>
        <w:t>情况；</w:t>
      </w:r>
    </w:p>
    <w:p>
      <w:pPr>
        <w:tabs>
          <w:tab w:val="center" w:pos="4474"/>
        </w:tabs>
        <w:ind w:firstLine="640" w:firstLineChars="200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>（二）对照上交所、</w:t>
      </w:r>
      <w:r>
        <w:rPr>
          <w:rFonts w:ascii="方正仿宋简体" w:hAnsi="Times New Roman" w:eastAsia="方正仿宋简体" w:cs="Times New Roman"/>
          <w:sz w:val="32"/>
          <w:szCs w:val="32"/>
        </w:rPr>
        <w:t>深交所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规定</w:t>
      </w:r>
      <w:r>
        <w:rPr>
          <w:rFonts w:ascii="方正仿宋简体" w:hAnsi="Times New Roman" w:eastAsia="方正仿宋简体" w:cs="Times New Roman"/>
          <w:sz w:val="32"/>
          <w:szCs w:val="32"/>
        </w:rPr>
        <w:t>的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拟转入</w:t>
      </w:r>
      <w:r>
        <w:rPr>
          <w:rFonts w:ascii="方正仿宋简体" w:hAnsi="Times New Roman" w:eastAsia="方正仿宋简体" w:cs="Times New Roman"/>
          <w:sz w:val="32"/>
          <w:szCs w:val="32"/>
        </w:rPr>
        <w:t>板块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上市</w:t>
      </w:r>
      <w:r>
        <w:rPr>
          <w:rFonts w:ascii="方正仿宋简体" w:hAnsi="Times New Roman" w:eastAsia="方正仿宋简体" w:cs="Times New Roman"/>
          <w:sz w:val="32"/>
          <w:szCs w:val="32"/>
        </w:rPr>
        <w:t>条件，结合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上市</w:t>
      </w:r>
      <w:r>
        <w:rPr>
          <w:rFonts w:ascii="方正仿宋简体" w:hAnsi="Times New Roman" w:eastAsia="方正仿宋简体" w:cs="Times New Roman"/>
          <w:sz w:val="32"/>
          <w:szCs w:val="32"/>
        </w:rPr>
        <w:t>公司已披露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信息</w:t>
      </w:r>
      <w:r>
        <w:rPr>
          <w:rFonts w:ascii="方正仿宋简体" w:hAnsi="Times New Roman" w:eastAsia="方正仿宋简体" w:cs="Times New Roman"/>
          <w:sz w:val="32"/>
          <w:szCs w:val="32"/>
        </w:rPr>
        <w:t>，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逐项</w:t>
      </w:r>
      <w:r>
        <w:rPr>
          <w:rFonts w:ascii="方正仿宋简体" w:hAnsi="Times New Roman" w:eastAsia="方正仿宋简体" w:cs="Times New Roman"/>
          <w:sz w:val="32"/>
          <w:szCs w:val="32"/>
        </w:rPr>
        <w:t>说明是否符合拟转入板块上市条件；</w:t>
      </w:r>
    </w:p>
    <w:p>
      <w:pPr>
        <w:tabs>
          <w:tab w:val="center" w:pos="4474"/>
        </w:tabs>
        <w:ind w:firstLine="640" w:firstLineChars="200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>（三）上市</w:t>
      </w:r>
      <w:r>
        <w:rPr>
          <w:rFonts w:ascii="方正仿宋简体" w:hAnsi="Times New Roman" w:eastAsia="方正仿宋简体" w:cs="Times New Roman"/>
          <w:sz w:val="32"/>
          <w:szCs w:val="32"/>
        </w:rPr>
        <w:t>公司就转板事宜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已</w:t>
      </w:r>
      <w:r>
        <w:rPr>
          <w:rFonts w:ascii="方正仿宋简体" w:hAnsi="Times New Roman" w:eastAsia="方正仿宋简体" w:cs="Times New Roman"/>
          <w:sz w:val="32"/>
          <w:szCs w:val="32"/>
        </w:rPr>
        <w:t>开展的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各项</w:t>
      </w:r>
      <w:r>
        <w:rPr>
          <w:rFonts w:ascii="方正仿宋简体" w:hAnsi="Times New Roman" w:eastAsia="方正仿宋简体" w:cs="Times New Roman"/>
          <w:sz w:val="32"/>
          <w:szCs w:val="32"/>
        </w:rPr>
        <w:t>工作及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后续主要</w:t>
      </w:r>
      <w:r>
        <w:rPr>
          <w:rFonts w:ascii="方正仿宋简体" w:hAnsi="Times New Roman" w:eastAsia="方正仿宋简体" w:cs="Times New Roman"/>
          <w:sz w:val="32"/>
          <w:szCs w:val="32"/>
        </w:rPr>
        <w:t>的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工作</w:t>
      </w:r>
      <w:r>
        <w:rPr>
          <w:rFonts w:ascii="方正仿宋简体" w:hAnsi="Times New Roman" w:eastAsia="方正仿宋简体" w:cs="Times New Roman"/>
          <w:sz w:val="32"/>
          <w:szCs w:val="32"/>
        </w:rPr>
        <w:t>安排；</w:t>
      </w:r>
    </w:p>
    <w:p>
      <w:pPr>
        <w:tabs>
          <w:tab w:val="center" w:pos="4474"/>
        </w:tabs>
        <w:ind w:firstLine="640" w:firstLineChars="200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>（四）上市</w:t>
      </w:r>
      <w:r>
        <w:rPr>
          <w:rFonts w:ascii="方正仿宋简体" w:hAnsi="Times New Roman" w:eastAsia="方正仿宋简体" w:cs="Times New Roman"/>
          <w:sz w:val="32"/>
          <w:szCs w:val="32"/>
        </w:rPr>
        <w:t>公司就转板事宜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尚待</w:t>
      </w:r>
      <w:r>
        <w:rPr>
          <w:rFonts w:ascii="方正仿宋简体" w:hAnsi="Times New Roman" w:eastAsia="方正仿宋简体" w:cs="Times New Roman"/>
          <w:sz w:val="32"/>
          <w:szCs w:val="32"/>
        </w:rPr>
        <w:t>审核、是否可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转板存在</w:t>
      </w:r>
      <w:r>
        <w:rPr>
          <w:rFonts w:ascii="方正仿宋简体" w:hAnsi="Times New Roman" w:eastAsia="方正仿宋简体" w:cs="Times New Roman"/>
          <w:sz w:val="32"/>
          <w:szCs w:val="32"/>
        </w:rPr>
        <w:t>不确定性等事项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作出</w:t>
      </w:r>
      <w:r>
        <w:rPr>
          <w:rFonts w:ascii="方正仿宋简体" w:hAnsi="Times New Roman" w:eastAsia="方正仿宋简体" w:cs="Times New Roman"/>
          <w:sz w:val="32"/>
          <w:szCs w:val="32"/>
        </w:rPr>
        <w:t>充分风险揭示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；</w:t>
      </w:r>
    </w:p>
    <w:p>
      <w:pPr>
        <w:tabs>
          <w:tab w:val="center" w:pos="4474"/>
        </w:tabs>
        <w:ind w:firstLine="640" w:firstLineChars="200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>（五）其他应当</w:t>
      </w:r>
      <w:r>
        <w:rPr>
          <w:rFonts w:ascii="方正仿宋简体" w:hAnsi="Times New Roman" w:eastAsia="方正仿宋简体" w:cs="Times New Roman"/>
          <w:sz w:val="32"/>
          <w:szCs w:val="32"/>
        </w:rPr>
        <w:t>说明的事项。</w:t>
      </w:r>
    </w:p>
    <w:p>
      <w:pPr>
        <w:tabs>
          <w:tab w:val="center" w:pos="4474"/>
        </w:tabs>
        <w:ind w:firstLine="642" w:firstLineChars="200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</w:rPr>
        <w:t>第</w:t>
      </w: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  <w:lang w:eastAsia="zh-CN"/>
        </w:rPr>
        <w:t>八</w:t>
      </w: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</w:rPr>
        <w:t>条</w:t>
      </w: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上市</w:t>
      </w:r>
      <w:r>
        <w:rPr>
          <w:rFonts w:ascii="方正仿宋简体" w:hAnsi="Times New Roman" w:eastAsia="方正仿宋简体" w:cs="Times New Roman"/>
          <w:sz w:val="32"/>
          <w:szCs w:val="32"/>
        </w:rPr>
        <w:t>公司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应当</w:t>
      </w:r>
      <w:r>
        <w:rPr>
          <w:rFonts w:ascii="方正仿宋简体" w:hAnsi="Times New Roman" w:eastAsia="方正仿宋简体" w:cs="Times New Roman"/>
          <w:sz w:val="32"/>
          <w:szCs w:val="32"/>
        </w:rPr>
        <w:t>在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审议</w:t>
      </w:r>
      <w:r>
        <w:rPr>
          <w:rFonts w:ascii="方正仿宋简体" w:hAnsi="Times New Roman" w:eastAsia="方正仿宋简体" w:cs="Times New Roman"/>
          <w:sz w:val="32"/>
          <w:szCs w:val="32"/>
        </w:rPr>
        <w:t>通过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拟申请转板相关事宜的</w:t>
      </w:r>
      <w:r>
        <w:rPr>
          <w:rFonts w:ascii="方正仿宋简体" w:hAnsi="Times New Roman" w:eastAsia="方正仿宋简体" w:cs="Times New Roman"/>
          <w:sz w:val="32"/>
          <w:szCs w:val="32"/>
        </w:rPr>
        <w:t>董事会决议披露之日起的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十个</w:t>
      </w:r>
      <w:r>
        <w:rPr>
          <w:rFonts w:hint="eastAsia" w:ascii="方正仿宋简体" w:hAnsi="Times New Roman" w:eastAsia="方正仿宋简体" w:cs="Times New Roman"/>
          <w:sz w:val="32"/>
          <w:szCs w:val="32"/>
          <w:lang w:eastAsia="zh-CN"/>
        </w:rPr>
        <w:t>交易日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内，通过内幕信息知情人报备系统或本所规定的其他方式，提交下列</w:t>
      </w:r>
      <w:r>
        <w:rPr>
          <w:rFonts w:ascii="方正仿宋简体" w:hAnsi="Times New Roman" w:eastAsia="方正仿宋简体" w:cs="Times New Roman"/>
          <w:sz w:val="32"/>
          <w:szCs w:val="32"/>
        </w:rPr>
        <w:t>内幕信息知情人报备文件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：</w:t>
      </w:r>
    </w:p>
    <w:p>
      <w:pPr>
        <w:tabs>
          <w:tab w:val="center" w:pos="4474"/>
        </w:tabs>
        <w:ind w:firstLine="640" w:firstLineChars="200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>（一）内幕信息知情人登记表；</w:t>
      </w:r>
    </w:p>
    <w:p>
      <w:pPr>
        <w:tabs>
          <w:tab w:val="center" w:pos="4474"/>
        </w:tabs>
        <w:ind w:firstLine="640" w:firstLineChars="200"/>
        <w:rPr>
          <w:rFonts w:hint="eastAsia" w:ascii="方正仿宋简体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>（二）相关人员买卖上市公司股票的自查报告，自查期间为</w:t>
      </w:r>
      <w:r>
        <w:rPr>
          <w:rFonts w:hint="eastAsia" w:ascii="方正仿宋简体" w:hAnsi="Times New Roman" w:eastAsia="方正仿宋简体" w:cs="Times New Roman"/>
          <w:sz w:val="32"/>
          <w:szCs w:val="32"/>
          <w:lang w:eastAsia="zh-CN"/>
        </w:rPr>
        <w:t>首次披露拟申请转板相关信息的前六个月至董事会决议披露之日；</w:t>
      </w:r>
    </w:p>
    <w:p>
      <w:pPr>
        <w:tabs>
          <w:tab w:val="center" w:pos="4474"/>
        </w:tabs>
        <w:ind w:firstLine="640" w:firstLineChars="200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>（三）进程备忘录；</w:t>
      </w:r>
    </w:p>
    <w:p>
      <w:pPr>
        <w:tabs>
          <w:tab w:val="center" w:pos="4474"/>
        </w:tabs>
        <w:ind w:firstLine="640" w:firstLineChars="200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>（四）上市公司全体董事对内幕信息知情人报备文件真实性、准确性和完整性的承诺书；</w:t>
      </w:r>
    </w:p>
    <w:p>
      <w:pPr>
        <w:tabs>
          <w:tab w:val="center" w:pos="4474"/>
        </w:tabs>
        <w:ind w:firstLine="640" w:firstLineChars="200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>（五）本所要求的其他文件。</w:t>
      </w:r>
    </w:p>
    <w:p>
      <w:pPr>
        <w:tabs>
          <w:tab w:val="center" w:pos="4474"/>
        </w:tabs>
        <w:ind w:firstLine="642" w:firstLineChars="200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</w:rPr>
        <w:t>第</w:t>
      </w: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  <w:lang w:eastAsia="zh-CN"/>
        </w:rPr>
        <w:t>九</w:t>
      </w: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</w:rPr>
        <w:t>条</w:t>
      </w: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本所对自查</w:t>
      </w:r>
      <w:r>
        <w:rPr>
          <w:rFonts w:ascii="方正仿宋简体" w:hAnsi="Times New Roman" w:eastAsia="方正仿宋简体" w:cs="Times New Roman"/>
          <w:sz w:val="32"/>
          <w:szCs w:val="32"/>
        </w:rPr>
        <w:t>期间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上市公司股票交易情况进行核查。发现明显异常的，可以要求上市公司提交股票交易情况说明。</w:t>
      </w:r>
    </w:p>
    <w:p>
      <w:pPr>
        <w:tabs>
          <w:tab w:val="center" w:pos="4474"/>
        </w:tabs>
        <w:ind w:firstLine="640" w:firstLineChars="200"/>
        <w:rPr>
          <w:rFonts w:ascii="方正仿宋简体" w:hAnsi="Times New Roman" w:eastAsia="方正仿宋简体" w:cs="Times New Roman"/>
          <w:sz w:val="44"/>
          <w:szCs w:val="44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>上市</w:t>
      </w:r>
      <w:r>
        <w:rPr>
          <w:rFonts w:ascii="方正仿宋简体" w:hAnsi="Times New Roman" w:eastAsia="方正仿宋简体" w:cs="Times New Roman"/>
          <w:sz w:val="32"/>
          <w:szCs w:val="32"/>
        </w:rPr>
        <w:t>公司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决定继续推进转板事宜的，应采取措施消除相关事项对上市公司的影响；无法完全消除的，应在提交转板</w:t>
      </w:r>
      <w:r>
        <w:rPr>
          <w:rFonts w:ascii="方正仿宋简体" w:hAnsi="Times New Roman" w:eastAsia="方正仿宋简体" w:cs="Times New Roman"/>
          <w:sz w:val="32"/>
          <w:szCs w:val="32"/>
        </w:rPr>
        <w:t>申请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前，就股票交易存在明显异常，可能被中国证监会立案调查或司法机关立案侦查，而导致本次转板被中止或者终止的情况披露特别风险提示公告。上市公司</w:t>
      </w:r>
      <w:r>
        <w:rPr>
          <w:rFonts w:hint="eastAsia" w:ascii="方正仿宋简体" w:hAnsi="Times New Roman" w:eastAsia="方正仿宋简体" w:cs="Times New Roman"/>
          <w:sz w:val="32"/>
          <w:szCs w:val="32"/>
          <w:lang w:eastAsia="zh-CN"/>
        </w:rPr>
        <w:t>聘请的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保荐机构</w:t>
      </w:r>
      <w:r>
        <w:rPr>
          <w:rFonts w:hint="eastAsia" w:ascii="方正仿宋简体" w:hAnsi="Times New Roman" w:eastAsia="方正仿宋简体" w:cs="Times New Roman"/>
          <w:sz w:val="32"/>
          <w:szCs w:val="32"/>
          <w:lang w:eastAsia="zh-CN"/>
        </w:rPr>
        <w:t>和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律师应对公司股票交易情况是否涉嫌内幕交易、是否会影响本次转板发表明确意见。</w:t>
      </w:r>
    </w:p>
    <w:p>
      <w:pPr>
        <w:tabs>
          <w:tab w:val="center" w:pos="4474"/>
        </w:tabs>
        <w:ind w:firstLine="640" w:firstLineChars="200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>上市公司自主决定终止转板相关</w:t>
      </w:r>
      <w:r>
        <w:rPr>
          <w:rFonts w:ascii="方正仿宋简体" w:hAnsi="Times New Roman" w:eastAsia="方正仿宋简体" w:cs="Times New Roman"/>
          <w:sz w:val="32"/>
          <w:szCs w:val="32"/>
        </w:rPr>
        <w:t>事宜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的，应当根据</w:t>
      </w:r>
      <w:r>
        <w:rPr>
          <w:rFonts w:ascii="方正仿宋简体" w:hAnsi="Times New Roman" w:eastAsia="方正仿宋简体" w:cs="Times New Roman"/>
          <w:sz w:val="32"/>
          <w:szCs w:val="32"/>
        </w:rPr>
        <w:t>本指引第</w:t>
      </w:r>
      <w:r>
        <w:rPr>
          <w:rFonts w:hint="eastAsia" w:ascii="方正仿宋简体" w:hAnsi="Times New Roman" w:eastAsia="方正仿宋简体" w:cs="Times New Roman"/>
          <w:sz w:val="32"/>
          <w:szCs w:val="32"/>
          <w:lang w:eastAsia="zh-CN"/>
        </w:rPr>
        <w:t>十五</w:t>
      </w:r>
      <w:r>
        <w:rPr>
          <w:rFonts w:ascii="方正仿宋简体" w:hAnsi="Times New Roman" w:eastAsia="方正仿宋简体" w:cs="Times New Roman"/>
          <w:sz w:val="32"/>
          <w:szCs w:val="32"/>
        </w:rPr>
        <w:t>条规定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履行决策程序，并及时披露。</w:t>
      </w:r>
    </w:p>
    <w:p>
      <w:pPr>
        <w:tabs>
          <w:tab w:val="center" w:pos="4474"/>
        </w:tabs>
        <w:ind w:firstLine="642" w:firstLineChars="200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</w:rPr>
        <w:t>第</w:t>
      </w: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  <w:lang w:eastAsia="zh-CN"/>
        </w:rPr>
        <w:t>十</w:t>
      </w: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</w:rPr>
        <w:t>条</w:t>
      </w: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上市</w:t>
      </w:r>
      <w:r>
        <w:rPr>
          <w:rFonts w:ascii="方正仿宋简体" w:hAnsi="Times New Roman" w:eastAsia="方正仿宋简体" w:cs="Times New Roman"/>
          <w:sz w:val="32"/>
          <w:szCs w:val="32"/>
        </w:rPr>
        <w:t>公司</w:t>
      </w:r>
      <w:r>
        <w:rPr>
          <w:rFonts w:hint="eastAsia" w:ascii="方正仿宋简体" w:hAnsi="Times New Roman" w:eastAsia="方正仿宋简体" w:cs="Times New Roman"/>
          <w:sz w:val="32"/>
          <w:szCs w:val="32"/>
          <w:lang w:eastAsia="zh-CN"/>
        </w:rPr>
        <w:t>首次披露拟申请转板相关信息至提交转板申请期间，</w:t>
      </w:r>
      <w:r>
        <w:rPr>
          <w:rFonts w:ascii="方正仿宋简体" w:hAnsi="Times New Roman" w:eastAsia="方正仿宋简体" w:cs="Times New Roman"/>
          <w:sz w:val="32"/>
          <w:szCs w:val="32"/>
        </w:rPr>
        <w:t>应当每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十个交易日披露</w:t>
      </w:r>
      <w:r>
        <w:rPr>
          <w:rFonts w:ascii="方正仿宋简体" w:hAnsi="Times New Roman" w:eastAsia="方正仿宋简体" w:cs="Times New Roman"/>
          <w:sz w:val="32"/>
          <w:szCs w:val="32"/>
        </w:rPr>
        <w:t>一次进展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公告，</w:t>
      </w:r>
      <w:r>
        <w:rPr>
          <w:rFonts w:ascii="方正仿宋简体" w:hAnsi="Times New Roman" w:eastAsia="方正仿宋简体" w:cs="Times New Roman"/>
          <w:sz w:val="32"/>
          <w:szCs w:val="32"/>
        </w:rPr>
        <w:t>相关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事项</w:t>
      </w:r>
      <w:r>
        <w:rPr>
          <w:rFonts w:ascii="方正仿宋简体" w:hAnsi="Times New Roman" w:eastAsia="方正仿宋简体" w:cs="Times New Roman"/>
          <w:sz w:val="32"/>
          <w:szCs w:val="32"/>
        </w:rPr>
        <w:t>取得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重要</w:t>
      </w:r>
      <w:r>
        <w:rPr>
          <w:rFonts w:ascii="方正仿宋简体" w:hAnsi="Times New Roman" w:eastAsia="方正仿宋简体" w:cs="Times New Roman"/>
          <w:sz w:val="32"/>
          <w:szCs w:val="32"/>
        </w:rPr>
        <w:t>进展或重大变化的，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应当</w:t>
      </w:r>
      <w:r>
        <w:rPr>
          <w:rFonts w:ascii="方正仿宋简体" w:hAnsi="Times New Roman" w:eastAsia="方正仿宋简体" w:cs="Times New Roman"/>
          <w:sz w:val="32"/>
          <w:szCs w:val="32"/>
        </w:rPr>
        <w:t>及时披露。</w:t>
      </w:r>
    </w:p>
    <w:p>
      <w:pPr>
        <w:tabs>
          <w:tab w:val="center" w:pos="4474"/>
        </w:tabs>
        <w:ind w:firstLine="642" w:firstLineChars="200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</w:rPr>
        <w:t>第十</w:t>
      </w: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  <w:lang w:eastAsia="zh-CN"/>
        </w:rPr>
        <w:t>一</w:t>
      </w: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</w:rPr>
        <w:t>条</w:t>
      </w: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上市公司申请转板</w:t>
      </w:r>
      <w:r>
        <w:rPr>
          <w:rFonts w:ascii="方正仿宋简体" w:hAnsi="Times New Roman" w:eastAsia="方正仿宋简体" w:cs="Times New Roman"/>
          <w:sz w:val="32"/>
          <w:szCs w:val="32"/>
        </w:rPr>
        <w:t>的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，应当密切关注媒体传播</w:t>
      </w:r>
      <w:r>
        <w:rPr>
          <w:rFonts w:ascii="方正仿宋简体" w:hAnsi="Times New Roman" w:eastAsia="方正仿宋简体" w:cs="Times New Roman"/>
          <w:sz w:val="32"/>
          <w:szCs w:val="32"/>
        </w:rPr>
        <w:t>的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涉及本公司的新闻或信息。相关</w:t>
      </w:r>
      <w:r>
        <w:rPr>
          <w:rFonts w:ascii="方正仿宋简体" w:hAnsi="Times New Roman" w:eastAsia="方正仿宋简体" w:cs="Times New Roman"/>
          <w:sz w:val="32"/>
          <w:szCs w:val="32"/>
        </w:rPr>
        <w:t>信息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可能或者已经对公司股票及其他证券品种交易价格、投资者决策产生较大影响的，上市</w:t>
      </w:r>
      <w:r>
        <w:rPr>
          <w:rFonts w:ascii="方正仿宋简体" w:hAnsi="Times New Roman" w:eastAsia="方正仿宋简体" w:cs="Times New Roman"/>
          <w:sz w:val="32"/>
          <w:szCs w:val="32"/>
        </w:rPr>
        <w:t>公司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应当按照本所</w:t>
      </w:r>
      <w:r>
        <w:rPr>
          <w:rFonts w:ascii="方正仿宋简体" w:hAnsi="Times New Roman" w:eastAsia="方正仿宋简体" w:cs="Times New Roman"/>
          <w:sz w:val="32"/>
          <w:szCs w:val="32"/>
        </w:rPr>
        <w:t>信息披露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有关规定，及时披露澄清公告。</w:t>
      </w:r>
    </w:p>
    <w:p>
      <w:pPr>
        <w:tabs>
          <w:tab w:val="center" w:pos="4474"/>
        </w:tabs>
        <w:ind w:firstLine="642" w:firstLineChars="200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</w:rPr>
        <w:t>第十</w:t>
      </w: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  <w:lang w:eastAsia="zh-CN"/>
        </w:rPr>
        <w:t>二</w:t>
      </w: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</w:rPr>
        <w:t>条</w:t>
      </w: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上市公司应当按照本所</w:t>
      </w:r>
      <w:r>
        <w:rPr>
          <w:rFonts w:ascii="方正仿宋简体" w:hAnsi="Times New Roman" w:eastAsia="方正仿宋简体" w:cs="Times New Roman"/>
          <w:sz w:val="32"/>
          <w:szCs w:val="32"/>
        </w:rPr>
        <w:t>股票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停复牌</w:t>
      </w:r>
      <w:r>
        <w:rPr>
          <w:rFonts w:ascii="方正仿宋简体" w:hAnsi="Times New Roman" w:eastAsia="方正仿宋简体" w:cs="Times New Roman"/>
          <w:sz w:val="32"/>
          <w:szCs w:val="32"/>
        </w:rPr>
        <w:t>有关规定，申请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股票于提交转板申报材料的次一交易日停牌，并披露</w:t>
      </w:r>
      <w:r>
        <w:rPr>
          <w:rFonts w:ascii="方正仿宋简体" w:hAnsi="Times New Roman" w:eastAsia="方正仿宋简体" w:cs="Times New Roman"/>
          <w:sz w:val="32"/>
          <w:szCs w:val="32"/>
        </w:rPr>
        <w:t>相关公告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。</w:t>
      </w:r>
    </w:p>
    <w:p>
      <w:pPr>
        <w:tabs>
          <w:tab w:val="center" w:pos="4474"/>
        </w:tabs>
        <w:ind w:firstLine="642" w:firstLineChars="200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</w:rPr>
        <w:t>第十</w:t>
      </w: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  <w:lang w:eastAsia="zh-CN"/>
        </w:rPr>
        <w:t>三</w:t>
      </w: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</w:rPr>
        <w:t>条</w:t>
      </w: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上市</w:t>
      </w:r>
      <w:r>
        <w:rPr>
          <w:rFonts w:ascii="方正仿宋简体" w:hAnsi="Times New Roman" w:eastAsia="方正仿宋简体" w:cs="Times New Roman"/>
          <w:sz w:val="32"/>
          <w:szCs w:val="32"/>
        </w:rPr>
        <w:t>公司收到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上交所、</w:t>
      </w:r>
      <w:r>
        <w:rPr>
          <w:rFonts w:ascii="方正仿宋简体" w:hAnsi="Times New Roman" w:eastAsia="方正仿宋简体" w:cs="Times New Roman"/>
          <w:sz w:val="32"/>
          <w:szCs w:val="32"/>
        </w:rPr>
        <w:t>深交所受理或者不受理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、</w:t>
      </w:r>
      <w:r>
        <w:rPr>
          <w:rFonts w:ascii="方正仿宋简体" w:hAnsi="Times New Roman" w:eastAsia="方正仿宋简体" w:cs="Times New Roman"/>
          <w:sz w:val="32"/>
          <w:szCs w:val="32"/>
        </w:rPr>
        <w:t>中止或者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终止审核、</w:t>
      </w:r>
      <w:r>
        <w:rPr>
          <w:rFonts w:ascii="方正仿宋简体" w:hAnsi="Times New Roman" w:eastAsia="方正仿宋简体" w:cs="Times New Roman"/>
          <w:sz w:val="32"/>
          <w:szCs w:val="32"/>
        </w:rPr>
        <w:t>同意转板申请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相关文书后，应当</w:t>
      </w:r>
      <w:r>
        <w:rPr>
          <w:rFonts w:ascii="方正仿宋简体" w:hAnsi="Times New Roman" w:eastAsia="方正仿宋简体" w:cs="Times New Roman"/>
          <w:sz w:val="32"/>
          <w:szCs w:val="32"/>
        </w:rPr>
        <w:t>及时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予以</w:t>
      </w:r>
      <w:r>
        <w:rPr>
          <w:rFonts w:ascii="方正仿宋简体" w:hAnsi="Times New Roman" w:eastAsia="方正仿宋简体" w:cs="Times New Roman"/>
          <w:sz w:val="32"/>
          <w:szCs w:val="32"/>
        </w:rPr>
        <w:t>披露。</w:t>
      </w:r>
    </w:p>
    <w:p>
      <w:pPr>
        <w:tabs>
          <w:tab w:val="center" w:pos="4474"/>
        </w:tabs>
        <w:ind w:firstLine="642" w:firstLineChars="200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</w:rPr>
        <w:t>第十</w:t>
      </w: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  <w:lang w:eastAsia="zh-CN"/>
        </w:rPr>
        <w:t>四</w:t>
      </w: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</w:rPr>
        <w:t>条</w:t>
      </w: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上市公司收到上交所、</w:t>
      </w:r>
      <w:r>
        <w:rPr>
          <w:rFonts w:ascii="方正仿宋简体" w:hAnsi="Times New Roman" w:eastAsia="方正仿宋简体" w:cs="Times New Roman"/>
          <w:sz w:val="32"/>
          <w:szCs w:val="32"/>
        </w:rPr>
        <w:t>深交所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同意公司转板相关文书后，应当根据本所股票</w:t>
      </w:r>
      <w:r>
        <w:rPr>
          <w:rFonts w:ascii="方正仿宋简体" w:hAnsi="Times New Roman" w:eastAsia="方正仿宋简体" w:cs="Times New Roman"/>
          <w:sz w:val="32"/>
          <w:szCs w:val="32"/>
        </w:rPr>
        <w:t>终止上市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有关规定</w:t>
      </w:r>
      <w:r>
        <w:rPr>
          <w:rFonts w:ascii="方正仿宋简体" w:hAnsi="Times New Roman" w:eastAsia="方正仿宋简体" w:cs="Times New Roman"/>
          <w:sz w:val="32"/>
          <w:szCs w:val="32"/>
        </w:rPr>
        <w:t>，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申请股票终止上市。</w:t>
      </w:r>
    </w:p>
    <w:p>
      <w:pPr>
        <w:tabs>
          <w:tab w:val="center" w:pos="4474"/>
        </w:tabs>
        <w:ind w:firstLine="640" w:firstLineChars="200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>上市</w:t>
      </w:r>
      <w:r>
        <w:rPr>
          <w:rFonts w:ascii="方正仿宋简体" w:hAnsi="Times New Roman" w:eastAsia="方正仿宋简体" w:cs="Times New Roman"/>
          <w:sz w:val="32"/>
          <w:szCs w:val="32"/>
        </w:rPr>
        <w:t>公司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收到</w:t>
      </w:r>
      <w:r>
        <w:rPr>
          <w:rFonts w:ascii="方正仿宋简体" w:hAnsi="Times New Roman" w:eastAsia="方正仿宋简体" w:cs="Times New Roman"/>
          <w:sz w:val="32"/>
          <w:szCs w:val="32"/>
        </w:rPr>
        <w:t>本所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同意股票</w:t>
      </w:r>
      <w:r>
        <w:rPr>
          <w:rFonts w:ascii="方正仿宋简体" w:hAnsi="Times New Roman" w:eastAsia="方正仿宋简体" w:cs="Times New Roman"/>
          <w:sz w:val="32"/>
          <w:szCs w:val="32"/>
        </w:rPr>
        <w:t>终止上市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相关文书后</w:t>
      </w:r>
      <w:r>
        <w:rPr>
          <w:rFonts w:ascii="方正仿宋简体" w:hAnsi="Times New Roman" w:eastAsia="方正仿宋简体" w:cs="Times New Roman"/>
          <w:sz w:val="32"/>
          <w:szCs w:val="32"/>
        </w:rPr>
        <w:t>，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应当</w:t>
      </w:r>
      <w:r>
        <w:rPr>
          <w:rFonts w:ascii="方正仿宋简体" w:hAnsi="Times New Roman" w:eastAsia="方正仿宋简体" w:cs="Times New Roman"/>
          <w:sz w:val="32"/>
          <w:szCs w:val="32"/>
        </w:rPr>
        <w:t>及时披露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，</w:t>
      </w:r>
      <w:r>
        <w:rPr>
          <w:rFonts w:ascii="方正仿宋简体" w:hAnsi="Times New Roman" w:eastAsia="方正仿宋简体" w:cs="Times New Roman"/>
          <w:sz w:val="32"/>
          <w:szCs w:val="32"/>
        </w:rPr>
        <w:t>说明后续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转板</w:t>
      </w:r>
      <w:r>
        <w:rPr>
          <w:rFonts w:ascii="方正仿宋简体" w:hAnsi="Times New Roman" w:eastAsia="方正仿宋简体" w:cs="Times New Roman"/>
          <w:sz w:val="32"/>
          <w:szCs w:val="32"/>
        </w:rPr>
        <w:t>安排。</w:t>
      </w:r>
    </w:p>
    <w:p>
      <w:pPr>
        <w:tabs>
          <w:tab w:val="center" w:pos="4474"/>
        </w:tabs>
        <w:ind w:firstLine="642" w:firstLineChars="200"/>
        <w:rPr>
          <w:rFonts w:hint="eastAsia"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</w:rPr>
        <w:t>第十</w:t>
      </w: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  <w:lang w:eastAsia="zh-CN"/>
        </w:rPr>
        <w:t>五</w:t>
      </w: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</w:rPr>
        <w:t>条</w:t>
      </w: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上市公司</w:t>
      </w:r>
      <w:r>
        <w:rPr>
          <w:rFonts w:ascii="方正仿宋简体" w:hAnsi="Times New Roman" w:eastAsia="方正仿宋简体" w:cs="Times New Roman"/>
          <w:sz w:val="32"/>
          <w:szCs w:val="32"/>
        </w:rPr>
        <w:t>终止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转板相关</w:t>
      </w:r>
      <w:r>
        <w:rPr>
          <w:rFonts w:ascii="方正仿宋简体" w:hAnsi="Times New Roman" w:eastAsia="方正仿宋简体" w:cs="Times New Roman"/>
          <w:sz w:val="32"/>
          <w:szCs w:val="32"/>
        </w:rPr>
        <w:t>事宜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的</w:t>
      </w:r>
      <w:r>
        <w:rPr>
          <w:rFonts w:ascii="方正仿宋简体" w:hAnsi="Times New Roman" w:eastAsia="方正仿宋简体" w:cs="Times New Roman"/>
          <w:sz w:val="32"/>
          <w:szCs w:val="32"/>
        </w:rPr>
        <w:t>，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应当</w:t>
      </w:r>
      <w:r>
        <w:rPr>
          <w:rFonts w:ascii="方正仿宋简体" w:hAnsi="Times New Roman" w:eastAsia="方正仿宋简体" w:cs="Times New Roman"/>
          <w:sz w:val="32"/>
          <w:szCs w:val="32"/>
        </w:rPr>
        <w:t>履行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相应</w:t>
      </w:r>
      <w:r>
        <w:rPr>
          <w:rFonts w:ascii="方正仿宋简体" w:hAnsi="Times New Roman" w:eastAsia="方正仿宋简体" w:cs="Times New Roman"/>
          <w:sz w:val="32"/>
          <w:szCs w:val="32"/>
        </w:rPr>
        <w:t>决策程序，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并及时</w:t>
      </w:r>
      <w:r>
        <w:rPr>
          <w:rFonts w:ascii="方正仿宋简体" w:hAnsi="Times New Roman" w:eastAsia="方正仿宋简体" w:cs="Times New Roman"/>
          <w:sz w:val="32"/>
          <w:szCs w:val="32"/>
        </w:rPr>
        <w:t>披露。</w:t>
      </w:r>
      <w:r>
        <w:rPr>
          <w:rFonts w:hint="eastAsia" w:ascii="方正仿宋简体" w:hAnsi="Times New Roman" w:eastAsia="方正仿宋简体" w:cs="Times New Roman"/>
          <w:sz w:val="32"/>
          <w:szCs w:val="32"/>
          <w:lang w:eastAsia="zh-CN"/>
        </w:rPr>
        <w:t>上市公司应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在披露董事会决议公告同时披露</w:t>
      </w:r>
      <w:r>
        <w:rPr>
          <w:rFonts w:hint="eastAsia" w:ascii="方正仿宋简体" w:hAnsi="Times New Roman" w:eastAsia="方正仿宋简体" w:cs="Times New Roman"/>
          <w:sz w:val="32"/>
          <w:szCs w:val="32"/>
          <w:lang w:eastAsia="zh-CN"/>
        </w:rPr>
        <w:t>关于终止转板相关事宜的提示性公告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，内容至少应当包括：</w:t>
      </w:r>
    </w:p>
    <w:p>
      <w:pPr>
        <w:tabs>
          <w:tab w:val="center" w:pos="4474"/>
        </w:tabs>
        <w:ind w:firstLine="640" w:firstLineChars="200"/>
        <w:outlineLvl w:val="0"/>
        <w:rPr>
          <w:rFonts w:hint="eastAsia"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>（一）董事会审议</w:t>
      </w:r>
      <w:r>
        <w:rPr>
          <w:rFonts w:hint="eastAsia" w:ascii="方正仿宋简体" w:hAnsi="Times New Roman" w:eastAsia="方正仿宋简体" w:cs="Times New Roman"/>
          <w:sz w:val="32"/>
          <w:szCs w:val="32"/>
          <w:lang w:eastAsia="zh-CN"/>
        </w:rPr>
        <w:t>终止转板事宜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的时间、审议结果等基本情况；</w:t>
      </w:r>
    </w:p>
    <w:p>
      <w:pPr>
        <w:tabs>
          <w:tab w:val="center" w:pos="4474"/>
        </w:tabs>
        <w:ind w:firstLine="640" w:firstLineChars="200"/>
        <w:outlineLvl w:val="0"/>
        <w:rPr>
          <w:rFonts w:hint="eastAsia"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>（二）上市公司就转板事宜已开展的各项工作；</w:t>
      </w:r>
    </w:p>
    <w:p>
      <w:pPr>
        <w:tabs>
          <w:tab w:val="center" w:pos="4474"/>
        </w:tabs>
        <w:ind w:firstLine="640" w:firstLineChars="200"/>
        <w:outlineLvl w:val="0"/>
        <w:rPr>
          <w:rFonts w:hint="eastAsia" w:ascii="方正仿宋简体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>（</w:t>
      </w:r>
      <w:r>
        <w:rPr>
          <w:rFonts w:hint="eastAsia" w:ascii="方正仿宋简体" w:hAnsi="Times New Roman" w:eastAsia="方正仿宋简体" w:cs="Times New Roman"/>
          <w:sz w:val="32"/>
          <w:szCs w:val="32"/>
          <w:lang w:eastAsia="zh-CN"/>
        </w:rPr>
        <w:t>三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）上市公司</w:t>
      </w:r>
      <w:r>
        <w:rPr>
          <w:rFonts w:hint="eastAsia" w:ascii="方正仿宋简体" w:hAnsi="Times New Roman" w:eastAsia="方正仿宋简体" w:cs="Times New Roman"/>
          <w:sz w:val="32"/>
          <w:szCs w:val="32"/>
          <w:lang w:eastAsia="zh-CN"/>
        </w:rPr>
        <w:t>终止转板事宜的原因及对公司的影响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；</w:t>
      </w:r>
    </w:p>
    <w:p>
      <w:pPr>
        <w:tabs>
          <w:tab w:val="center" w:pos="4474"/>
        </w:tabs>
        <w:ind w:firstLine="640" w:firstLineChars="200"/>
        <w:outlineLvl w:val="0"/>
        <w:rPr>
          <w:rFonts w:hint="eastAsia"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>（</w:t>
      </w:r>
      <w:r>
        <w:rPr>
          <w:rFonts w:hint="eastAsia" w:ascii="方正仿宋简体" w:hAnsi="Times New Roman" w:eastAsia="方正仿宋简体" w:cs="Times New Roman"/>
          <w:sz w:val="32"/>
          <w:szCs w:val="32"/>
          <w:lang w:eastAsia="zh-CN"/>
        </w:rPr>
        <w:t>四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）其他应当说明的事项。</w:t>
      </w:r>
    </w:p>
    <w:p>
      <w:pPr>
        <w:tabs>
          <w:tab w:val="center" w:pos="4474"/>
        </w:tabs>
        <w:ind w:firstLine="640" w:firstLineChars="200"/>
        <w:rPr>
          <w:rFonts w:hint="default" w:ascii="方正仿宋简体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  <w:lang w:eastAsia="zh-CN"/>
        </w:rPr>
        <w:t>上市公司</w:t>
      </w:r>
      <w:r>
        <w:rPr>
          <w:rFonts w:ascii="方正仿宋简体" w:hAnsi="Times New Roman" w:eastAsia="方正仿宋简体" w:cs="Times New Roman"/>
          <w:sz w:val="32"/>
          <w:szCs w:val="32"/>
        </w:rPr>
        <w:t>终止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转板相关</w:t>
      </w:r>
      <w:r>
        <w:rPr>
          <w:rFonts w:ascii="方正仿宋简体" w:hAnsi="Times New Roman" w:eastAsia="方正仿宋简体" w:cs="Times New Roman"/>
          <w:sz w:val="32"/>
          <w:szCs w:val="32"/>
        </w:rPr>
        <w:t>事宜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的</w:t>
      </w:r>
      <w:r>
        <w:rPr>
          <w:rFonts w:hint="eastAsia" w:ascii="方正仿宋简体" w:hAnsi="Times New Roman" w:eastAsia="方正仿宋简体" w:cs="Times New Roman"/>
          <w:sz w:val="32"/>
          <w:szCs w:val="32"/>
          <w:lang w:eastAsia="zh-CN"/>
        </w:rPr>
        <w:t>，还应当及时召开投资者说明会，向投资者介绍情况、回答问题、听取建议。上市公司董事长、总经理应当出席。上市公司应当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披露董事会决议公告同时</w:t>
      </w:r>
      <w:r>
        <w:rPr>
          <w:rFonts w:hint="eastAsia" w:ascii="方正仿宋简体" w:hAnsi="Times New Roman" w:eastAsia="方正仿宋简体" w:cs="Times New Roman"/>
          <w:sz w:val="32"/>
          <w:szCs w:val="32"/>
          <w:lang w:eastAsia="zh-CN"/>
        </w:rPr>
        <w:t>披露关于召开投资者说明会的预告公告，并在会后及时披露召开情况。</w:t>
      </w:r>
    </w:p>
    <w:p>
      <w:pPr>
        <w:tabs>
          <w:tab w:val="center" w:pos="4474"/>
        </w:tabs>
        <w:ind w:firstLine="642" w:firstLineChars="200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</w:rPr>
        <w:t>第十</w:t>
      </w: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  <w:lang w:eastAsia="zh-CN"/>
        </w:rPr>
        <w:t>六</w:t>
      </w: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</w:rPr>
        <w:t>条</w:t>
      </w: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上市公司应当按照本所</w:t>
      </w:r>
      <w:r>
        <w:rPr>
          <w:rFonts w:ascii="方正仿宋简体" w:hAnsi="Times New Roman" w:eastAsia="方正仿宋简体" w:cs="Times New Roman"/>
          <w:sz w:val="32"/>
          <w:szCs w:val="32"/>
        </w:rPr>
        <w:t>股票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停复牌</w:t>
      </w:r>
      <w:r>
        <w:rPr>
          <w:rFonts w:ascii="方正仿宋简体" w:hAnsi="Times New Roman" w:eastAsia="方正仿宋简体" w:cs="Times New Roman"/>
          <w:sz w:val="32"/>
          <w:szCs w:val="32"/>
        </w:rPr>
        <w:t>有关规定，申请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股票于收到上交所、</w:t>
      </w:r>
      <w:r>
        <w:rPr>
          <w:rFonts w:ascii="方正仿宋简体" w:hAnsi="Times New Roman" w:eastAsia="方正仿宋简体" w:cs="Times New Roman"/>
          <w:sz w:val="32"/>
          <w:szCs w:val="32"/>
        </w:rPr>
        <w:t>深交所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不予受理</w:t>
      </w:r>
      <w:r>
        <w:rPr>
          <w:rFonts w:ascii="方正仿宋简体" w:hAnsi="Times New Roman" w:eastAsia="方正仿宋简体" w:cs="Times New Roman"/>
          <w:sz w:val="32"/>
          <w:szCs w:val="32"/>
        </w:rPr>
        <w:t>或者终止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审核相关</w:t>
      </w:r>
      <w:r>
        <w:rPr>
          <w:rFonts w:ascii="方正仿宋简体" w:hAnsi="Times New Roman" w:eastAsia="方正仿宋简体" w:cs="Times New Roman"/>
          <w:sz w:val="32"/>
          <w:szCs w:val="32"/>
        </w:rPr>
        <w:t>文书的次两个交易日复牌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，并披露</w:t>
      </w:r>
      <w:r>
        <w:rPr>
          <w:rFonts w:ascii="方正仿宋简体" w:hAnsi="Times New Roman" w:eastAsia="方正仿宋简体" w:cs="Times New Roman"/>
          <w:sz w:val="32"/>
          <w:szCs w:val="32"/>
        </w:rPr>
        <w:t>相关公告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。</w:t>
      </w:r>
    </w:p>
    <w:p>
      <w:pPr>
        <w:tabs>
          <w:tab w:val="center" w:pos="4474"/>
        </w:tabs>
        <w:ind w:firstLine="642" w:firstLineChars="200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</w:rPr>
        <w:t>第十</w:t>
      </w: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  <w:lang w:eastAsia="zh-CN"/>
        </w:rPr>
        <w:t>七</w:t>
      </w: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</w:rPr>
        <w:t>条</w:t>
      </w: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上市公司及相关主体违反本指引及相关规定的，本所可以对其采取工作措施、自律监管措施或实施纪律处分。</w:t>
      </w:r>
    </w:p>
    <w:p>
      <w:pPr>
        <w:tabs>
          <w:tab w:val="center" w:pos="4474"/>
        </w:tabs>
        <w:ind w:firstLine="642" w:firstLineChars="200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</w:rPr>
        <w:t>第十</w:t>
      </w: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  <w:lang w:eastAsia="zh-CN"/>
        </w:rPr>
        <w:t>八</w:t>
      </w: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</w:rPr>
        <w:t>条</w:t>
      </w: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本指引由本所负责解释。</w:t>
      </w:r>
    </w:p>
    <w:p>
      <w:pPr>
        <w:tabs>
          <w:tab w:val="center" w:pos="4474"/>
        </w:tabs>
        <w:ind w:firstLine="642" w:firstLineChars="200"/>
        <w:rPr>
          <w:rFonts w:hint="eastAsia"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</w:rPr>
        <w:t>第十</w:t>
      </w: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  <w:lang w:eastAsia="zh-CN"/>
        </w:rPr>
        <w:t>九</w:t>
      </w: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</w:rPr>
        <w:t>条</w:t>
      </w: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本指引自发布之日起施行。</w:t>
      </w:r>
    </w:p>
    <w:p>
      <w:pPr>
        <w:tabs>
          <w:tab w:val="center" w:pos="4474"/>
        </w:tabs>
        <w:ind w:firstLine="640" w:firstLineChars="200"/>
        <w:rPr>
          <w:rFonts w:hint="eastAsia" w:ascii="方正仿宋简体" w:hAnsi="Times New Roman" w:eastAsia="方正仿宋简体" w:cs="Times New Roman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jc w:val="center"/>
        <w:outlineLvl w:val="0"/>
        <w:rPr>
          <w:rFonts w:hint="eastAsia" w:ascii="Times New Roman" w:hAnsi="Times New Roman" w:eastAsia="方正大标宋简体"/>
          <w:color w:val="000000" w:themeColor="text1"/>
          <w:sz w:val="44"/>
          <w:szCs w:val="42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600" w:lineRule="exact"/>
        <w:jc w:val="center"/>
        <w:outlineLvl w:val="0"/>
        <w:rPr>
          <w:rFonts w:hint="eastAsia" w:ascii="Times New Roman" w:hAnsi="Times New Roman" w:eastAsia="方正大标宋简体"/>
          <w:color w:val="000000" w:themeColor="text1"/>
          <w:sz w:val="44"/>
          <w:szCs w:val="42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600" w:lineRule="exact"/>
        <w:jc w:val="center"/>
        <w:outlineLvl w:val="0"/>
        <w:rPr>
          <w:rFonts w:hint="eastAsia" w:ascii="Times New Roman" w:hAnsi="Times New Roman" w:eastAsia="方正大标宋简体"/>
          <w:color w:val="000000" w:themeColor="text1"/>
          <w:sz w:val="44"/>
          <w:szCs w:val="42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600" w:lineRule="exact"/>
        <w:jc w:val="center"/>
        <w:outlineLvl w:val="0"/>
        <w:rPr>
          <w:rFonts w:hint="eastAsia" w:ascii="Times New Roman" w:hAnsi="Times New Roman" w:eastAsia="方正大标宋简体"/>
          <w:color w:val="000000" w:themeColor="text1"/>
          <w:sz w:val="44"/>
          <w:szCs w:val="42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600" w:lineRule="exact"/>
        <w:jc w:val="center"/>
        <w:outlineLvl w:val="0"/>
        <w:rPr>
          <w:rFonts w:hint="eastAsia" w:ascii="Times New Roman" w:hAnsi="Times New Roman" w:eastAsia="方正大标宋简体"/>
          <w:color w:val="000000" w:themeColor="text1"/>
          <w:sz w:val="44"/>
          <w:szCs w:val="42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600" w:lineRule="exact"/>
        <w:jc w:val="center"/>
        <w:outlineLvl w:val="0"/>
        <w:rPr>
          <w:rFonts w:hint="eastAsia" w:ascii="Times New Roman" w:hAnsi="Times New Roman" w:eastAsia="方正大标宋简体"/>
          <w:color w:val="000000" w:themeColor="text1"/>
          <w:sz w:val="44"/>
          <w:szCs w:val="42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600" w:lineRule="exact"/>
        <w:jc w:val="center"/>
        <w:outlineLvl w:val="0"/>
        <w:rPr>
          <w:rFonts w:hint="eastAsia" w:ascii="Times New Roman" w:hAnsi="Times New Roman" w:eastAsia="方正大标宋简体"/>
          <w:color w:val="000000" w:themeColor="text1"/>
          <w:sz w:val="44"/>
          <w:szCs w:val="42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600" w:lineRule="exact"/>
        <w:jc w:val="center"/>
        <w:outlineLvl w:val="0"/>
        <w:rPr>
          <w:rFonts w:hint="eastAsia" w:ascii="Times New Roman" w:hAnsi="Times New Roman" w:eastAsia="方正大标宋简体"/>
          <w:color w:val="000000" w:themeColor="text1"/>
          <w:sz w:val="44"/>
          <w:szCs w:val="42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600" w:lineRule="exact"/>
        <w:jc w:val="center"/>
        <w:outlineLvl w:val="0"/>
        <w:rPr>
          <w:rFonts w:hint="eastAsia" w:ascii="Times New Roman" w:hAnsi="Times New Roman" w:eastAsia="方正大标宋简体"/>
          <w:color w:val="000000" w:themeColor="text1"/>
          <w:sz w:val="44"/>
          <w:szCs w:val="42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600" w:lineRule="exact"/>
        <w:jc w:val="center"/>
        <w:outlineLvl w:val="0"/>
        <w:rPr>
          <w:rFonts w:hint="eastAsia" w:ascii="Times New Roman" w:hAnsi="Times New Roman" w:eastAsia="方正大标宋简体"/>
          <w:color w:val="000000" w:themeColor="text1"/>
          <w:sz w:val="44"/>
          <w:szCs w:val="42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600" w:lineRule="exact"/>
        <w:jc w:val="center"/>
        <w:outlineLvl w:val="0"/>
        <w:rPr>
          <w:rFonts w:hint="eastAsia" w:ascii="Times New Roman" w:hAnsi="Times New Roman" w:eastAsia="方正大标宋简体"/>
          <w:color w:val="000000" w:themeColor="text1"/>
          <w:sz w:val="44"/>
          <w:szCs w:val="42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600" w:lineRule="exact"/>
        <w:jc w:val="center"/>
        <w:outlineLvl w:val="0"/>
        <w:rPr>
          <w:rFonts w:hint="eastAsia" w:ascii="Times New Roman" w:hAnsi="Times New Roman" w:eastAsia="方正大标宋简体"/>
          <w:color w:val="000000" w:themeColor="text1"/>
          <w:sz w:val="44"/>
          <w:szCs w:val="42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600" w:lineRule="exact"/>
        <w:jc w:val="center"/>
        <w:outlineLvl w:val="0"/>
        <w:rPr>
          <w:rFonts w:hint="eastAsia" w:ascii="Times New Roman" w:hAnsi="Times New Roman" w:eastAsia="方正大标宋简体"/>
          <w:color w:val="000000" w:themeColor="text1"/>
          <w:sz w:val="44"/>
          <w:szCs w:val="4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altName w:val="方正书宋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DD9"/>
    <w:rsid w:val="00011DAE"/>
    <w:rsid w:val="000248E1"/>
    <w:rsid w:val="000309B7"/>
    <w:rsid w:val="0004351C"/>
    <w:rsid w:val="00050B98"/>
    <w:rsid w:val="000528AF"/>
    <w:rsid w:val="00055B62"/>
    <w:rsid w:val="00071A2E"/>
    <w:rsid w:val="0007259D"/>
    <w:rsid w:val="0007419B"/>
    <w:rsid w:val="000C6909"/>
    <w:rsid w:val="000D6B8B"/>
    <w:rsid w:val="000D6DD8"/>
    <w:rsid w:val="000E30CB"/>
    <w:rsid w:val="000F41D4"/>
    <w:rsid w:val="00100CDA"/>
    <w:rsid w:val="00113D2A"/>
    <w:rsid w:val="00133E60"/>
    <w:rsid w:val="00151647"/>
    <w:rsid w:val="00185379"/>
    <w:rsid w:val="00192BA5"/>
    <w:rsid w:val="0019708A"/>
    <w:rsid w:val="001A54AB"/>
    <w:rsid w:val="001B5B79"/>
    <w:rsid w:val="001C3B45"/>
    <w:rsid w:val="001C4EF8"/>
    <w:rsid w:val="001D3CBC"/>
    <w:rsid w:val="001E2760"/>
    <w:rsid w:val="001F47D9"/>
    <w:rsid w:val="0021460F"/>
    <w:rsid w:val="00225DF9"/>
    <w:rsid w:val="00225E7E"/>
    <w:rsid w:val="00226823"/>
    <w:rsid w:val="00254401"/>
    <w:rsid w:val="002578E8"/>
    <w:rsid w:val="002728D9"/>
    <w:rsid w:val="002A60E4"/>
    <w:rsid w:val="002D6664"/>
    <w:rsid w:val="002E1554"/>
    <w:rsid w:val="002F76E0"/>
    <w:rsid w:val="0030583E"/>
    <w:rsid w:val="00321B0B"/>
    <w:rsid w:val="003279D7"/>
    <w:rsid w:val="00332070"/>
    <w:rsid w:val="00365380"/>
    <w:rsid w:val="00371A0D"/>
    <w:rsid w:val="00396504"/>
    <w:rsid w:val="003B289F"/>
    <w:rsid w:val="003C3822"/>
    <w:rsid w:val="003D654C"/>
    <w:rsid w:val="003E707A"/>
    <w:rsid w:val="003F3222"/>
    <w:rsid w:val="0042672B"/>
    <w:rsid w:val="004351A5"/>
    <w:rsid w:val="00490C5B"/>
    <w:rsid w:val="004A3321"/>
    <w:rsid w:val="004A5645"/>
    <w:rsid w:val="004C66C3"/>
    <w:rsid w:val="004C7738"/>
    <w:rsid w:val="004D1C30"/>
    <w:rsid w:val="004D62E0"/>
    <w:rsid w:val="004F30C2"/>
    <w:rsid w:val="005050C0"/>
    <w:rsid w:val="00585410"/>
    <w:rsid w:val="0059083D"/>
    <w:rsid w:val="005A5045"/>
    <w:rsid w:val="005D139F"/>
    <w:rsid w:val="005D50C0"/>
    <w:rsid w:val="005D5AD1"/>
    <w:rsid w:val="005E1ED7"/>
    <w:rsid w:val="005F5275"/>
    <w:rsid w:val="0061320C"/>
    <w:rsid w:val="0064244A"/>
    <w:rsid w:val="00657AC4"/>
    <w:rsid w:val="006A31C5"/>
    <w:rsid w:val="006A76FE"/>
    <w:rsid w:val="006B4388"/>
    <w:rsid w:val="006F56B6"/>
    <w:rsid w:val="007024B9"/>
    <w:rsid w:val="00705141"/>
    <w:rsid w:val="00706D40"/>
    <w:rsid w:val="00711B39"/>
    <w:rsid w:val="00713BA9"/>
    <w:rsid w:val="00716203"/>
    <w:rsid w:val="007208A7"/>
    <w:rsid w:val="0072287B"/>
    <w:rsid w:val="007240C5"/>
    <w:rsid w:val="007249A5"/>
    <w:rsid w:val="00731B68"/>
    <w:rsid w:val="00762904"/>
    <w:rsid w:val="007632FD"/>
    <w:rsid w:val="007815B8"/>
    <w:rsid w:val="007A1184"/>
    <w:rsid w:val="007A3756"/>
    <w:rsid w:val="007C0B55"/>
    <w:rsid w:val="007D117C"/>
    <w:rsid w:val="007D128C"/>
    <w:rsid w:val="007F49B5"/>
    <w:rsid w:val="007F4DAB"/>
    <w:rsid w:val="008143BE"/>
    <w:rsid w:val="00814450"/>
    <w:rsid w:val="0081683C"/>
    <w:rsid w:val="00817B76"/>
    <w:rsid w:val="00817BD1"/>
    <w:rsid w:val="00825EBB"/>
    <w:rsid w:val="008344AC"/>
    <w:rsid w:val="00843301"/>
    <w:rsid w:val="00846FCA"/>
    <w:rsid w:val="008475BB"/>
    <w:rsid w:val="00852F51"/>
    <w:rsid w:val="008655B0"/>
    <w:rsid w:val="00890061"/>
    <w:rsid w:val="00893308"/>
    <w:rsid w:val="008A2CDE"/>
    <w:rsid w:val="008A4BF8"/>
    <w:rsid w:val="008D18B7"/>
    <w:rsid w:val="008E2CE5"/>
    <w:rsid w:val="008E2F58"/>
    <w:rsid w:val="008E6AD1"/>
    <w:rsid w:val="00903112"/>
    <w:rsid w:val="009237B2"/>
    <w:rsid w:val="00936291"/>
    <w:rsid w:val="00936AD7"/>
    <w:rsid w:val="00936D6A"/>
    <w:rsid w:val="009401D4"/>
    <w:rsid w:val="00940205"/>
    <w:rsid w:val="0096024D"/>
    <w:rsid w:val="009730C9"/>
    <w:rsid w:val="00987807"/>
    <w:rsid w:val="009F6DB8"/>
    <w:rsid w:val="00A066DF"/>
    <w:rsid w:val="00A07AE5"/>
    <w:rsid w:val="00A27F1B"/>
    <w:rsid w:val="00A748F7"/>
    <w:rsid w:val="00A85977"/>
    <w:rsid w:val="00A86EE0"/>
    <w:rsid w:val="00A87E71"/>
    <w:rsid w:val="00A9357A"/>
    <w:rsid w:val="00A96CF1"/>
    <w:rsid w:val="00A97514"/>
    <w:rsid w:val="00AC63D5"/>
    <w:rsid w:val="00AD0D1F"/>
    <w:rsid w:val="00AD2154"/>
    <w:rsid w:val="00AD2BBF"/>
    <w:rsid w:val="00AF4D10"/>
    <w:rsid w:val="00AF4D43"/>
    <w:rsid w:val="00B0295C"/>
    <w:rsid w:val="00B061F0"/>
    <w:rsid w:val="00B1673B"/>
    <w:rsid w:val="00B8260D"/>
    <w:rsid w:val="00B95927"/>
    <w:rsid w:val="00BA34C7"/>
    <w:rsid w:val="00BA668A"/>
    <w:rsid w:val="00BB00FE"/>
    <w:rsid w:val="00BB78FB"/>
    <w:rsid w:val="00BD547C"/>
    <w:rsid w:val="00BE7E41"/>
    <w:rsid w:val="00BF1F65"/>
    <w:rsid w:val="00C04300"/>
    <w:rsid w:val="00C27188"/>
    <w:rsid w:val="00C34515"/>
    <w:rsid w:val="00C35811"/>
    <w:rsid w:val="00C56046"/>
    <w:rsid w:val="00C61919"/>
    <w:rsid w:val="00C7198A"/>
    <w:rsid w:val="00CD0C39"/>
    <w:rsid w:val="00CD1A6C"/>
    <w:rsid w:val="00CD5BC5"/>
    <w:rsid w:val="00CE72E2"/>
    <w:rsid w:val="00CF2669"/>
    <w:rsid w:val="00CF317B"/>
    <w:rsid w:val="00CF3424"/>
    <w:rsid w:val="00CF5500"/>
    <w:rsid w:val="00D4070E"/>
    <w:rsid w:val="00D40DFC"/>
    <w:rsid w:val="00D435E3"/>
    <w:rsid w:val="00D45C3E"/>
    <w:rsid w:val="00D53D7D"/>
    <w:rsid w:val="00DD40C7"/>
    <w:rsid w:val="00DD4B12"/>
    <w:rsid w:val="00DE772F"/>
    <w:rsid w:val="00DE7907"/>
    <w:rsid w:val="00DF2CDE"/>
    <w:rsid w:val="00E11E3A"/>
    <w:rsid w:val="00E174C1"/>
    <w:rsid w:val="00E34BD6"/>
    <w:rsid w:val="00E36818"/>
    <w:rsid w:val="00E43F66"/>
    <w:rsid w:val="00E63451"/>
    <w:rsid w:val="00E7744F"/>
    <w:rsid w:val="00EA1093"/>
    <w:rsid w:val="00EC3CA7"/>
    <w:rsid w:val="00EC7DB4"/>
    <w:rsid w:val="00ED2B08"/>
    <w:rsid w:val="00EE2BF2"/>
    <w:rsid w:val="00F0160C"/>
    <w:rsid w:val="00F23631"/>
    <w:rsid w:val="00F3262C"/>
    <w:rsid w:val="00F463C5"/>
    <w:rsid w:val="00F55883"/>
    <w:rsid w:val="00F55C9A"/>
    <w:rsid w:val="00F605F5"/>
    <w:rsid w:val="00F71DD9"/>
    <w:rsid w:val="00F73A47"/>
    <w:rsid w:val="00F86B94"/>
    <w:rsid w:val="00F979DF"/>
    <w:rsid w:val="00FA4A11"/>
    <w:rsid w:val="00FB15C4"/>
    <w:rsid w:val="00FB258F"/>
    <w:rsid w:val="00FF0355"/>
    <w:rsid w:val="00FF51B8"/>
    <w:rsid w:val="06FD88A8"/>
    <w:rsid w:val="11BF37E6"/>
    <w:rsid w:val="1D7F4C68"/>
    <w:rsid w:val="2B9C6B97"/>
    <w:rsid w:val="2D376CA0"/>
    <w:rsid w:val="2E979D52"/>
    <w:rsid w:val="3F2F30A4"/>
    <w:rsid w:val="3F3BEA39"/>
    <w:rsid w:val="45FBE8AC"/>
    <w:rsid w:val="47272BA7"/>
    <w:rsid w:val="4AEDB415"/>
    <w:rsid w:val="4FBBE768"/>
    <w:rsid w:val="57BE71C9"/>
    <w:rsid w:val="57DB62DC"/>
    <w:rsid w:val="5BFFC379"/>
    <w:rsid w:val="5DDE352E"/>
    <w:rsid w:val="5F7FE704"/>
    <w:rsid w:val="64BEDE0C"/>
    <w:rsid w:val="6B66C0A7"/>
    <w:rsid w:val="6DA5AE98"/>
    <w:rsid w:val="6E9CF537"/>
    <w:rsid w:val="6F7DE141"/>
    <w:rsid w:val="6FCF273D"/>
    <w:rsid w:val="6FDF9D5B"/>
    <w:rsid w:val="6FF77E29"/>
    <w:rsid w:val="72FE3062"/>
    <w:rsid w:val="73F9AA16"/>
    <w:rsid w:val="7697CCBF"/>
    <w:rsid w:val="7759723E"/>
    <w:rsid w:val="776F8D52"/>
    <w:rsid w:val="77AF8B54"/>
    <w:rsid w:val="79F3B838"/>
    <w:rsid w:val="7A9D8F09"/>
    <w:rsid w:val="7B3F0894"/>
    <w:rsid w:val="7B7ABAB3"/>
    <w:rsid w:val="7BEDD454"/>
    <w:rsid w:val="7DE7402B"/>
    <w:rsid w:val="7E107C98"/>
    <w:rsid w:val="7EEEE09B"/>
    <w:rsid w:val="7F395AE4"/>
    <w:rsid w:val="7FBDB6E6"/>
    <w:rsid w:val="7FBF8C2D"/>
    <w:rsid w:val="7FF6E05C"/>
    <w:rsid w:val="7FFF42E4"/>
    <w:rsid w:val="7FFF55E8"/>
    <w:rsid w:val="95F00D64"/>
    <w:rsid w:val="97EF01FE"/>
    <w:rsid w:val="97EF5C37"/>
    <w:rsid w:val="98FF7978"/>
    <w:rsid w:val="9EF64B4D"/>
    <w:rsid w:val="9F796B1D"/>
    <w:rsid w:val="9FF725E0"/>
    <w:rsid w:val="9FF742E8"/>
    <w:rsid w:val="AB64F649"/>
    <w:rsid w:val="AFCB2A71"/>
    <w:rsid w:val="AFDF8AE7"/>
    <w:rsid w:val="B3BA09BD"/>
    <w:rsid w:val="B7FFA65B"/>
    <w:rsid w:val="BF5DDF0B"/>
    <w:rsid w:val="BFBC371F"/>
    <w:rsid w:val="BFDFD080"/>
    <w:rsid w:val="BFEF359E"/>
    <w:rsid w:val="C48FCDD6"/>
    <w:rsid w:val="C6B344F9"/>
    <w:rsid w:val="CBADED6E"/>
    <w:rsid w:val="CDFFF096"/>
    <w:rsid w:val="CFF5D98F"/>
    <w:rsid w:val="D9DB6FB7"/>
    <w:rsid w:val="DB2C2E1C"/>
    <w:rsid w:val="DB2FD7C0"/>
    <w:rsid w:val="DBDB1FDA"/>
    <w:rsid w:val="DD7F8DB7"/>
    <w:rsid w:val="DDBCED15"/>
    <w:rsid w:val="DF6FC5A3"/>
    <w:rsid w:val="DFCEBEAB"/>
    <w:rsid w:val="E8EFB2E0"/>
    <w:rsid w:val="ECA62245"/>
    <w:rsid w:val="EDFDADBF"/>
    <w:rsid w:val="EDFF4C15"/>
    <w:rsid w:val="EEEFD23B"/>
    <w:rsid w:val="EEF14F33"/>
    <w:rsid w:val="EF74CA88"/>
    <w:rsid w:val="F5BA87B8"/>
    <w:rsid w:val="F76F50A2"/>
    <w:rsid w:val="F7C51218"/>
    <w:rsid w:val="F7FDCC53"/>
    <w:rsid w:val="F8FC7D1C"/>
    <w:rsid w:val="FA9FCAF4"/>
    <w:rsid w:val="FB6F9EBE"/>
    <w:rsid w:val="FBEA951C"/>
    <w:rsid w:val="FC5F396A"/>
    <w:rsid w:val="FD7F5A42"/>
    <w:rsid w:val="FDB2A5DC"/>
    <w:rsid w:val="FDDFA19A"/>
    <w:rsid w:val="FDFD4482"/>
    <w:rsid w:val="FDFDF6EA"/>
    <w:rsid w:val="FE6E6413"/>
    <w:rsid w:val="FEDDC1DA"/>
    <w:rsid w:val="FF4CCCB4"/>
    <w:rsid w:val="FFF7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批注文字 Char"/>
    <w:basedOn w:val="8"/>
    <w:link w:val="2"/>
    <w:semiHidden/>
    <w:qFormat/>
    <w:uiPriority w:val="99"/>
  </w:style>
  <w:style w:type="character" w:customStyle="1" w:styleId="14">
    <w:name w:val="批注主题 Char"/>
    <w:basedOn w:val="13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277</Words>
  <Characters>1580</Characters>
  <Lines>13</Lines>
  <Paragraphs>3</Paragraphs>
  <TotalTime>1338</TotalTime>
  <ScaleCrop>false</ScaleCrop>
  <LinksUpToDate>false</LinksUpToDate>
  <CharactersWithSpaces>1854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2021-09-28T22:16:00Z</dcterms:created>
  <dc:creator>宋敏sm</dc:creator>
  <cp:lastModifiedBy>juxin</cp:lastModifiedBy>
  <cp:lastPrinted>2022-02-16T15:55:00Z</cp:lastPrinted>
  <dcterms:modified xsi:type="dcterms:W3CDTF">2022-02-25T15:17:17Z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