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page">
                  <wp:posOffset>253365</wp:posOffset>
                </wp:positionH>
                <wp:positionV relativeFrom="paragraph">
                  <wp:posOffset>334645</wp:posOffset>
                </wp:positionV>
                <wp:extent cx="7382510" cy="1222375"/>
                <wp:effectExtent l="0" t="0" r="27940" b="1651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7382510" cy="1222218"/>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第一季度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9.95pt;margin-top:26.35pt;height:96.25pt;width:581.3pt;mso-position-horizontal-relative:page;z-index:251657216;mso-width-relative:page;mso-height-relative:page;" fillcolor="#FFFFFF" filled="t" stroked="t" coordsize="21600,21600" o:gfxdata="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b/Zgt2AAAAAoBAAAPAAAAAAAAAAEAIAAA&#10;ADgAAABkcnMvZG93bnJldi54bWxQSwECFAAUAAAACACHTuJA23TUAy8CAABLBAAADgAAAAAAAAAB&#10;ACAAAAA9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第一季度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2310765</wp:posOffset>
                </wp:positionH>
                <wp:positionV relativeFrom="paragraph">
                  <wp:posOffset>7620</wp:posOffset>
                </wp:positionV>
                <wp:extent cx="2778760" cy="1673860"/>
                <wp:effectExtent l="0" t="0" r="21590" b="21590"/>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ctr" anchorCtr="false" upright="true">
                        <a:noAutofit/>
                      </wps:bodyPr>
                    </wps:wsp>
                  </a:graphicData>
                </a:graphic>
              </wp:anchor>
            </w:drawing>
          </mc:Choice>
          <mc:Fallback>
            <w:pict>
              <v:shape id="_x0000_s1026" o:spid="_x0000_s1026" o:spt="202" type="#_x0000_t202" style="position:absolute;left:0pt;margin-left:181.95pt;margin-top:0.6pt;height:131.8pt;width:218.8pt;mso-position-horizontal-relative:margin;z-index:251659264;v-text-anchor:middle;mso-width-relative:page;mso-height-relative:page;" fillcolor="#FFFFFF" filled="t" stroked="t" coordsize="21600,21600" o:gfxdata="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gYRX11gAAAAkBAAAPAAAAAAAAAAEAIAAAADgAAABkcnMvZG93bnJldi54bWxQSwECFAAUAAAA&#10;CACHTuJA9Jk8KEwCAACDBAAADgAAAAAAAAABACAAAAA7AQAAZHJzL2Uyb0RvYy54bWxQSwUGAAAA&#10;AAYABgBZAQAA+Q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395605</wp:posOffset>
                </wp:positionH>
                <wp:positionV relativeFrom="paragraph">
                  <wp:posOffset>10160</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15pt;margin-top:0.8pt;height:131.8pt;width:107.55pt;mso-position-horizontal-relative:margin;z-index:251660288;mso-width-relative:page;mso-height-relative:page;" fillcolor="#FFFFFF" filled="t" stroked="t" coordsize="21600,21600" o:gfxdata="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v66rs1wAAAAgBAAAPAAAAAAAAAAEAIAAAADgAAABkcnMvZG93bnJldi54bWxQSwECFAAU&#10;AAAACACHTuJAxo+hLk4CAACBBAAADgAAAAAAAAABACAAAAA8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346710</wp:posOffset>
                </wp:positionV>
                <wp:extent cx="5457825" cy="1350010"/>
                <wp:effectExtent l="0" t="0" r="28575" b="22225"/>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1349829"/>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2024年第</w:t>
                            </w:r>
                            <w:r>
                              <w:rPr>
                                <w:rFonts w:hint="eastAsia" w:ascii="微软雅黑" w:hAnsi="微软雅黑" w:eastAsia="微软雅黑"/>
                                <w:color w:val="000000" w:themeColor="text1"/>
                                <w:sz w:val="44"/>
                                <w:szCs w:val="44"/>
                                <w14:textFill>
                                  <w14:solidFill>
                                    <w14:schemeClr w14:val="tx1"/>
                                  </w14:solidFill>
                                </w14:textFill>
                              </w:rPr>
                              <w:t>一</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27.3pt;height:106.3pt;width:429.75pt;mso-position-horizontal-relative:margin;z-index:251661312;mso-width-relative:page;mso-height-relative:page;" fillcolor="#FFFFFF" filled="t" stroked="t" coordsize="21600,21600" o:gfxdata="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A3LAtYAAAAHAQAADwAAAAAAAAABACAAAAA4AAAAZHJzL2Rvd25yZXYueG1sUEsBAhQAFAAA&#10;AAgAh07iQFKXi31NAgAAgQQAAA4AAAAAAAAAAQAgAAAAOwEAAGRycy9lMm9Eb2MueG1sUEsFBgAA&#10;AAAGAAYAWQEAAPoF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2024年第</w:t>
                      </w:r>
                      <w:r>
                        <w:rPr>
                          <w:rFonts w:hint="eastAsia" w:ascii="微软雅黑" w:hAnsi="微软雅黑" w:eastAsia="微软雅黑"/>
                          <w:color w:val="000000" w:themeColor="text1"/>
                          <w:sz w:val="44"/>
                          <w:szCs w:val="44"/>
                          <w14:textFill>
                            <w14:solidFill>
                              <w14:schemeClr w14:val="tx1"/>
                            </w14:solidFill>
                          </w14:textFill>
                        </w:rPr>
                        <w:t>一</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v:textbox>
              </v:shape>
            </w:pict>
          </mc:Fallback>
        </mc:AlternateContent>
      </w:r>
    </w:p>
    <w:p>
      <w:pPr>
        <w:rPr>
          <w:color w:val="000000" w:themeColor="text1"/>
          <w:sz w:val="28"/>
          <w:szCs w:val="28"/>
          <w14:textFill>
            <w14:solidFill>
              <w14:schemeClr w14:val="tx1"/>
            </w14:solidFill>
          </w14:textFill>
        </w:rPr>
        <w:sectPr>
          <w:footerReference r:id="rId3" w:type="default"/>
          <w:footerReference r:id="rId4" w:type="even"/>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bookmarkStart w:id="0" w:name="_Toc505095877"/>
      <w:r>
        <w:rPr>
          <w:rFonts w:hint="eastAsia" w:ascii="黑体" w:hAnsi="黑体" w:eastAsia="黑体"/>
          <w:b w:val="0"/>
          <w:sz w:val="36"/>
          <w:szCs w:val="36"/>
        </w:rPr>
        <w:t>第一节</w:t>
      </w:r>
      <w:r>
        <w:rPr>
          <w:rFonts w:ascii="黑体" w:hAnsi="黑体" w:eastAsia="黑体"/>
          <w:b w:val="0"/>
          <w:sz w:val="36"/>
          <w:szCs w:val="36"/>
        </w:rPr>
        <w:t xml:space="preserve"> </w:t>
      </w:r>
      <w:r>
        <w:rPr>
          <w:rFonts w:hint="eastAsia" w:ascii="黑体" w:hAnsi="黑体" w:eastAsia="黑体"/>
          <w:b w:val="0"/>
          <w:sz w:val="36"/>
          <w:szCs w:val="36"/>
        </w:rPr>
        <w:t>重要提示</w:t>
      </w:r>
      <w:bookmarkEnd w:id="0"/>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Theme="minorEastAsia" w:hAnsiTheme="minorEastAsia"/>
          <w:color w:val="000000" w:themeColor="text1"/>
          <w:szCs w:val="21"/>
          <w14:textFill>
            <w14:solidFill>
              <w14:schemeClr w14:val="tx1"/>
            </w14:solidFill>
          </w14:textFill>
        </w:rPr>
        <w:t>公司</w:t>
      </w:r>
      <w:r>
        <w:rPr>
          <w:rFonts w:hint="eastAsia" w:ascii="宋体" w:hAnsi="宋体" w:eastAsia="宋体" w:cs="方正书宋_GBK"/>
          <w:color w:val="000000"/>
          <w:kern w:val="0"/>
          <w:szCs w:val="21"/>
          <w:lang w:val="zh-CN"/>
        </w:rPr>
        <w:t>董事、监事、高级管理人员保证本报告所载资料不存在虚假记载、误导性陈述或者重大遗漏，并对其内容的真实性、准确性和完整性承担个别及连带责任。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u w:val="single"/>
          <w:lang w:val="zh-CN"/>
        </w:rPr>
      </w:pPr>
      <w:r>
        <w:rPr>
          <w:rFonts w:hint="eastAsia" w:ascii="宋体" w:hAnsi="宋体" w:eastAsia="宋体" w:cs="方正书宋_GBK"/>
          <w:color w:val="000000"/>
          <w:kern w:val="0"/>
          <w:szCs w:val="21"/>
          <w:lang w:val="zh-CN"/>
        </w:rPr>
        <w:t>公司负责人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、主管会计工作负责人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及会计机构负责人（会计主管人员）</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无法保证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FF0000"/>
          <w:kern w:val="0"/>
          <w:szCs w:val="21"/>
          <w:u w:val="single"/>
          <w:lang w:val="zh-CN"/>
        </w:rPr>
        <w:t>（无法保证的人员</w:t>
      </w:r>
      <w:r>
        <w:rPr>
          <w:rFonts w:ascii="宋体" w:hAnsi="宋体" w:eastAsia="宋体" w:cs="方正书宋_GBK"/>
          <w:color w:val="FF0000"/>
          <w:kern w:val="0"/>
          <w:szCs w:val="21"/>
          <w:u w:val="single"/>
          <w:lang w:val="zh-CN"/>
        </w:rPr>
        <w:t>职位</w:t>
      </w:r>
      <w:r>
        <w:rPr>
          <w:rFonts w:hint="eastAsia" w:ascii="宋体" w:hAnsi="宋体" w:eastAsia="宋体" w:cs="方正书宋_GBK"/>
          <w:color w:val="FF0000"/>
          <w:kern w:val="0"/>
          <w:szCs w:val="21"/>
          <w:u w:val="single"/>
          <w:lang w:val="zh-CN"/>
        </w:rPr>
        <w:t>、</w:t>
      </w:r>
      <w:r>
        <w:rPr>
          <w:rFonts w:ascii="宋体" w:hAnsi="宋体" w:eastAsia="宋体" w:cs="方正书宋_GBK"/>
          <w:color w:val="FF0000"/>
          <w:kern w:val="0"/>
          <w:szCs w:val="21"/>
          <w:u w:val="single"/>
          <w:lang w:val="zh-CN"/>
        </w:rPr>
        <w:t>姓名</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000000"/>
          <w:kern w:val="0"/>
          <w:szCs w:val="21"/>
          <w:lang w:val="zh-CN"/>
        </w:rPr>
        <w:t>对季度报告内容存在异议，无法保证季度报告中财务报告的真实、准确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审计情况-未经审计</w:t>
      </w:r>
      <w:r>
        <w:rPr>
          <w:rFonts w:ascii="宋体" w:hAnsi="宋体" w:eastAsia="宋体" w:cs="方正书宋_GBK"/>
          <w:b/>
          <w:color w:val="000000"/>
          <w:kern w:val="0"/>
          <w:szCs w:val="21"/>
          <w:lang w:val="zh-CN"/>
        </w:rPr>
        <w:t>：</w:t>
      </w:r>
      <w:r>
        <w:rPr>
          <w:rFonts w:hint="eastAsia" w:ascii="宋体" w:hAnsi="宋体" w:eastAsia="宋体" w:cs="方正书宋_GBK"/>
          <w:color w:val="000000"/>
          <w:kern w:val="0"/>
          <w:szCs w:val="21"/>
          <w:lang w:val="zh-CN"/>
        </w:rPr>
        <w:t>本季度</w:t>
      </w:r>
      <w:r>
        <w:rPr>
          <w:rFonts w:ascii="宋体" w:hAnsi="宋体" w:eastAsia="宋体" w:cs="方正书宋_GBK"/>
          <w:color w:val="000000"/>
          <w:kern w:val="0"/>
          <w:szCs w:val="21"/>
          <w:lang w:val="zh-CN"/>
        </w:rPr>
        <w:t>报告</w:t>
      </w:r>
      <w:r>
        <w:rPr>
          <w:rFonts w:hint="eastAsia" w:ascii="宋体" w:hAnsi="宋体" w:eastAsia="宋体" w:cs="方正书宋_GBK"/>
          <w:color w:val="000000"/>
          <w:kern w:val="0"/>
          <w:szCs w:val="21"/>
          <w:lang w:val="zh-CN"/>
        </w:rPr>
        <w:t>未经会计师</w:t>
      </w:r>
      <w:r>
        <w:rPr>
          <w:rFonts w:ascii="宋体" w:hAnsi="宋体" w:eastAsia="宋体" w:cs="方正书宋_GBK"/>
          <w:color w:val="000000"/>
          <w:kern w:val="0"/>
          <w:szCs w:val="21"/>
          <w:lang w:val="zh-CN"/>
        </w:rPr>
        <w:t>事务所审计</w:t>
      </w:r>
      <w:r>
        <w:rPr>
          <w:rFonts w:hint="eastAsia" w:ascii="宋体" w:hAnsi="宋体" w:eastAsia="宋体" w:cs="方正书宋_GBK"/>
          <w:color w:val="000000"/>
          <w:kern w:val="0"/>
          <w:szCs w:val="21"/>
          <w:lang w:val="zh-CN"/>
        </w:rPr>
        <w:t>。</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审计情况-标准</w:t>
      </w:r>
      <w:r>
        <w:rPr>
          <w:rFonts w:ascii="宋体" w:hAnsi="宋体" w:eastAsia="宋体" w:cs="方正书宋_GBK"/>
          <w:b/>
          <w:color w:val="000000"/>
          <w:kern w:val="0"/>
          <w:szCs w:val="21"/>
          <w:lang w:val="zh-CN"/>
        </w:rPr>
        <w:t>无保留意见：</w:t>
      </w:r>
      <w:r>
        <w:rPr>
          <w:rFonts w:hint="eastAsia" w:ascii="宋体" w:hAnsi="宋体" w:eastAsia="宋体" w:cs="方正书宋_GBK"/>
          <w:color w:val="FF0000"/>
          <w:kern w:val="0"/>
          <w:szCs w:val="21"/>
          <w:u w:val="single"/>
          <w:lang w:val="zh-CN"/>
        </w:rPr>
        <w:t>（会计师事务所）</w:t>
      </w:r>
      <w:r>
        <w:rPr>
          <w:rFonts w:hint="eastAsia" w:ascii="宋体" w:hAnsi="宋体" w:eastAsia="宋体" w:cs="方正书宋_GBK"/>
          <w:color w:val="000000"/>
          <w:kern w:val="0"/>
          <w:szCs w:val="21"/>
          <w:lang w:val="zh-CN"/>
        </w:rPr>
        <w:t>对公司出具</w:t>
      </w:r>
      <w:r>
        <w:rPr>
          <w:rFonts w:hint="eastAsia" w:ascii="宋体" w:hAnsi="宋体" w:eastAsia="宋体" w:cs="方正书宋_GBK"/>
          <w:color w:val="000000" w:themeColor="text1"/>
          <w:kern w:val="0"/>
          <w:szCs w:val="21"/>
          <w:lang w:val="zh-CN"/>
          <w14:textFill>
            <w14:solidFill>
              <w14:schemeClr w14:val="tx1"/>
            </w14:solidFill>
          </w14:textFill>
        </w:rPr>
        <w:t>了标准无保留意见</w:t>
      </w:r>
      <w:r>
        <w:rPr>
          <w:rFonts w:hint="eastAsia" w:ascii="宋体" w:hAnsi="宋体" w:eastAsia="宋体" w:cs="方正书宋_GBK"/>
          <w:color w:val="000000"/>
          <w:kern w:val="0"/>
          <w:szCs w:val="21"/>
          <w:lang w:val="zh-CN"/>
        </w:rPr>
        <w:t>的审计报告。</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无特别段落：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带特别段落：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hint="eastAsia" w:ascii="宋体" w:hAnsi="宋体" w:eastAsia="宋体" w:cs="方正书宋_GBK"/>
          <w:color w:val="FF0000"/>
          <w:kern w:val="0"/>
          <w:szCs w:val="21"/>
          <w:lang w:val="zh-CN"/>
        </w:rPr>
        <w:t>带</w:t>
      </w:r>
      <w:r>
        <w:rPr>
          <w:rFonts w:hint="eastAsia" w:ascii="宋体" w:hAnsi="宋体" w:eastAsia="宋体" w:cs="方正书宋_GBK"/>
          <w:color w:val="FF0000"/>
          <w:kern w:val="0"/>
          <w:szCs w:val="21"/>
          <w:u w:val="single"/>
          <w:lang w:val="zh-CN"/>
        </w:rPr>
        <w:t>（强调</w:t>
      </w:r>
      <w:r>
        <w:rPr>
          <w:rFonts w:ascii="宋体" w:hAnsi="宋体" w:eastAsia="宋体" w:cs="方正书宋_GBK"/>
          <w:color w:val="FF0000"/>
          <w:kern w:val="0"/>
          <w:szCs w:val="21"/>
          <w:u w:val="single"/>
          <w:lang w:val="zh-CN"/>
        </w:rPr>
        <w:t>事项段/其他</w:t>
      </w:r>
      <w:r>
        <w:rPr>
          <w:rFonts w:hint="eastAsia" w:ascii="宋体" w:hAnsi="宋体" w:eastAsia="宋体" w:cs="方正书宋_GBK"/>
          <w:color w:val="FF0000"/>
          <w:kern w:val="0"/>
          <w:szCs w:val="21"/>
          <w:u w:val="single"/>
          <w:lang w:val="zh-CN"/>
        </w:rPr>
        <w:t>事项段</w:t>
      </w:r>
      <w:r>
        <w:rPr>
          <w:rFonts w:ascii="宋体" w:hAnsi="宋体" w:eastAsia="宋体" w:cs="方正书宋_GBK"/>
          <w:color w:val="FF0000"/>
          <w:kern w:val="0"/>
          <w:szCs w:val="21"/>
          <w:u w:val="single"/>
          <w:lang w:val="zh-CN"/>
        </w:rPr>
        <w:t>/持续经营重大不确定</w:t>
      </w:r>
      <w:r>
        <w:rPr>
          <w:rFonts w:hint="eastAsia" w:ascii="宋体" w:hAnsi="宋体" w:eastAsia="宋体" w:cs="方正书宋_GBK"/>
          <w:color w:val="FF0000"/>
          <w:kern w:val="0"/>
          <w:szCs w:val="21"/>
          <w:u w:val="single"/>
          <w:lang w:val="zh-CN"/>
        </w:rPr>
        <w:t>性</w:t>
      </w:r>
      <w:r>
        <w:rPr>
          <w:rFonts w:ascii="宋体" w:hAnsi="宋体" w:eastAsia="宋体" w:cs="方正书宋_GBK"/>
          <w:color w:val="FF0000"/>
          <w:kern w:val="0"/>
          <w:szCs w:val="21"/>
          <w:u w:val="single"/>
          <w:lang w:val="zh-CN"/>
        </w:rPr>
        <w:t>段落/其他信息段落中包含其他信息存在未更正重大错报说明</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FF0000"/>
          <w:kern w:val="0"/>
          <w:szCs w:val="21"/>
          <w:lang w:val="zh-CN"/>
        </w:rPr>
        <w:t>的</w:t>
      </w:r>
      <w:r>
        <w:rPr>
          <w:rFonts w:hint="eastAsia" w:ascii="宋体" w:hAnsi="宋体" w:eastAsia="宋体" w:cs="方正书宋_GBK"/>
          <w:color w:val="FF0000"/>
          <w:kern w:val="0"/>
          <w:szCs w:val="21"/>
          <w:u w:val="single"/>
          <w:lang w:val="zh-CN"/>
        </w:rPr>
        <w:t>（无保留意见</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000000"/>
          <w:kern w:val="0"/>
          <w:szCs w:val="21"/>
          <w:lang w:val="zh-CN"/>
        </w:rPr>
        <w:t>本季度报告涉及未来计划等前瞻性陈述，不构成公司对投资者的实质承诺，投资者及相关人士均应对此保持足够的风险认识，并且应当理解计划、预测与承诺之间的差异。</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454"/>
        <w:gridCol w:w="11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事项</w:t>
            </w:r>
          </w:p>
        </w:tc>
        <w:tc>
          <w:tcPr>
            <w:tcW w:w="118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是或否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pacing w:val="-5"/>
                <w:sz w:val="22"/>
                <w14:textFill>
                  <w14:solidFill>
                    <w14:schemeClr w14:val="tx1"/>
                  </w14:solidFill>
                </w14:textFill>
              </w:rPr>
              <w:t>是否</w:t>
            </w:r>
            <w:r>
              <w:rPr>
                <w:rFonts w:asciiTheme="minorEastAsia" w:hAnsiTheme="minorEastAsia"/>
                <w:color w:val="000000" w:themeColor="text1"/>
                <w:spacing w:val="-5"/>
                <w:sz w:val="22"/>
                <w14:textFill>
                  <w14:solidFill>
                    <w14:schemeClr w14:val="tx1"/>
                  </w14:solidFill>
                </w14:textFill>
              </w:rPr>
              <w:t>存在</w:t>
            </w:r>
            <w:r>
              <w:rPr>
                <w:rFonts w:hint="eastAsia" w:asciiTheme="minorEastAsia" w:hAnsiTheme="minorEastAsia"/>
                <w:color w:val="000000" w:themeColor="text1"/>
                <w:spacing w:val="-5"/>
                <w:sz w:val="22"/>
                <w14:textFill>
                  <w14:solidFill>
                    <w14:schemeClr w14:val="tx1"/>
                  </w14:solidFill>
                </w14:textFill>
              </w:rPr>
              <w:t>公司董事、监事、高级管理人员对季度报告内容存在异议或无法保证其真实、准确、完整</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w:t>
            </w:r>
            <w:r>
              <w:rPr>
                <w:rFonts w:ascii="Times New Roman" w:hAnsi="Times New Roman"/>
                <w:color w:val="FF0000"/>
                <w:kern w:val="0"/>
                <w:sz w:val="22"/>
              </w:rPr>
              <w:t>/</w:t>
            </w:r>
            <w:r>
              <w:rPr>
                <w:rFonts w:hint="eastAsia" w:ascii="Times New Roman" w:hAnsi="Times New Roman"/>
                <w:color w:val="FF0000"/>
                <w:kern w:val="0"/>
                <w:sz w:val="22"/>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w:t>
            </w:r>
            <w:r>
              <w:rPr>
                <w:rFonts w:asciiTheme="minorEastAsia" w:hAnsiTheme="minorEastAsia"/>
                <w:color w:val="000000" w:themeColor="text1"/>
                <w:sz w:val="22"/>
                <w14:textFill>
                  <w14:solidFill>
                    <w14:schemeClr w14:val="tx1"/>
                  </w14:solidFill>
                </w14:textFill>
              </w:rPr>
              <w:t>存在</w:t>
            </w:r>
            <w:r>
              <w:rPr>
                <w:rFonts w:hint="eastAsia" w:asciiTheme="minorEastAsia" w:hAnsiTheme="minorEastAsia"/>
                <w:color w:val="000000" w:themeColor="text1"/>
                <w:sz w:val="22"/>
                <w14:textFill>
                  <w14:solidFill>
                    <w14:schemeClr w14:val="tx1"/>
                  </w14:solidFill>
                </w14:textFill>
              </w:rPr>
              <w:t>未出席董事会审议季度报告的董事</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是否存在未按</w:t>
            </w:r>
            <w:r>
              <w:rPr>
                <w:rFonts w:asciiTheme="minorEastAsia" w:hAnsiTheme="minorEastAsia"/>
                <w:color w:val="000000" w:themeColor="text1"/>
                <w:sz w:val="22"/>
                <w14:textFill>
                  <w14:solidFill>
                    <w14:schemeClr w14:val="tx1"/>
                  </w14:solidFill>
                </w14:textFill>
              </w:rPr>
              <w:t>要求披露的事项</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是否被出具非标准审计意见</w:t>
            </w:r>
          </w:p>
        </w:tc>
        <w:tc>
          <w:tcPr>
            <w:tcW w:w="1185" w:type="dxa"/>
          </w:tcPr>
          <w:p>
            <w:pPr>
              <w:rPr>
                <w:rFonts w:ascii="Times New Roman" w:hAnsi="Times New Roman"/>
                <w:color w:val="FF0000"/>
                <w:kern w:val="0"/>
                <w:sz w:val="22"/>
              </w:rPr>
            </w:pPr>
            <w:r>
              <w:rPr>
                <w:rFonts w:hint="eastAsia" w:ascii="Times New Roman" w:hAnsi="Times New Roman"/>
                <w:color w:val="FF0000"/>
                <w:kern w:val="0"/>
                <w:sz w:val="22"/>
              </w:rPr>
              <w:t>（是/否）</w:t>
            </w:r>
          </w:p>
        </w:tc>
      </w:tr>
    </w:tbl>
    <w:p>
      <w:pPr>
        <w:pStyle w:val="63"/>
        <w:numPr>
          <w:ilvl w:val="0"/>
          <w:numId w:val="1"/>
        </w:num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公司</w:t>
      </w:r>
      <w:r>
        <w:rPr>
          <w:rFonts w:hint="eastAsia" w:asciiTheme="minorEastAsia" w:hAnsiTheme="minorEastAsia" w:eastAsiaTheme="minorEastAsia"/>
          <w:color w:val="000000" w:themeColor="text1"/>
          <w:sz w:val="21"/>
          <w:szCs w:val="21"/>
          <w14:textFill>
            <w14:solidFill>
              <w14:schemeClr w14:val="tx1"/>
            </w14:solidFill>
          </w14:textFill>
        </w:rPr>
        <w:t>董事</w:t>
      </w:r>
      <w:r>
        <w:rPr>
          <w:rFonts w:asciiTheme="minorEastAsia" w:hAnsiTheme="minorEastAsia" w:eastAsiaTheme="minorEastAsia"/>
          <w:color w:val="000000" w:themeColor="text1"/>
          <w:sz w:val="21"/>
          <w:szCs w:val="21"/>
          <w14:textFill>
            <w14:solidFill>
              <w14:schemeClr w14:val="tx1"/>
            </w14:solidFill>
          </w14:textFill>
        </w:rPr>
        <w:t>、监事、高级管理人员对</w:t>
      </w:r>
      <w:r>
        <w:rPr>
          <w:rFonts w:hint="eastAsia" w:asciiTheme="minorEastAsia" w:hAnsiTheme="minorEastAsia" w:eastAsiaTheme="minorEastAsia"/>
          <w:color w:val="000000" w:themeColor="text1"/>
          <w:sz w:val="21"/>
          <w:szCs w:val="21"/>
          <w14:textFill>
            <w14:solidFill>
              <w14:schemeClr w14:val="tx1"/>
            </w14:solidFill>
          </w14:textFill>
        </w:rPr>
        <w:t>季度</w:t>
      </w:r>
      <w:r>
        <w:rPr>
          <w:rFonts w:asciiTheme="minorEastAsia" w:hAnsiTheme="minorEastAsia" w:eastAsiaTheme="minorEastAsia"/>
          <w:color w:val="000000" w:themeColor="text1"/>
          <w:sz w:val="21"/>
          <w:szCs w:val="21"/>
          <w14:textFill>
            <w14:solidFill>
              <w14:schemeClr w14:val="tx1"/>
            </w14:solidFill>
          </w14:textFill>
        </w:rPr>
        <w:t>报告</w:t>
      </w:r>
      <w:r>
        <w:rPr>
          <w:rFonts w:hint="eastAsia" w:asciiTheme="minorEastAsia" w:hAnsiTheme="minorEastAsia" w:eastAsiaTheme="minorEastAsia"/>
          <w:color w:val="000000" w:themeColor="text1"/>
          <w:sz w:val="21"/>
          <w:szCs w:val="21"/>
          <w14:textFill>
            <w14:solidFill>
              <w14:schemeClr w14:val="tx1"/>
            </w14:solidFill>
          </w14:textFill>
        </w:rPr>
        <w:t>内容存在</w:t>
      </w:r>
      <w:r>
        <w:rPr>
          <w:rFonts w:asciiTheme="minorEastAsia" w:hAnsiTheme="minorEastAsia" w:eastAsiaTheme="minorEastAsia"/>
          <w:color w:val="000000" w:themeColor="text1"/>
          <w:sz w:val="21"/>
          <w:szCs w:val="21"/>
          <w14:textFill>
            <w14:solidFill>
              <w14:schemeClr w14:val="tx1"/>
            </w14:solidFill>
          </w14:textFill>
        </w:rPr>
        <w:t>异议或无法保证</w:t>
      </w:r>
      <w:r>
        <w:rPr>
          <w:rFonts w:hint="eastAsia" w:asciiTheme="minorEastAsia" w:hAnsiTheme="minorEastAsia" w:eastAsiaTheme="minorEastAsia"/>
          <w:color w:val="000000" w:themeColor="text1"/>
          <w:sz w:val="21"/>
          <w:szCs w:val="21"/>
          <w14:textFill>
            <w14:solidFill>
              <w14:schemeClr w14:val="tx1"/>
            </w14:solidFill>
          </w14:textFill>
        </w:rPr>
        <w:t>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未出席董事会审议季度报告的董事姓名及未出席的理由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未按</w:t>
      </w:r>
      <w:r>
        <w:rPr>
          <w:rFonts w:asciiTheme="minorEastAsia" w:hAnsiTheme="minorEastAsia"/>
          <w:color w:val="000000" w:themeColor="text1"/>
          <w:szCs w:val="44"/>
          <w14:textFill>
            <w14:solidFill>
              <w14:schemeClr w14:val="tx1"/>
            </w14:solidFill>
          </w14:textFill>
        </w:rPr>
        <w:t>要求</w:t>
      </w:r>
      <w:r>
        <w:rPr>
          <w:rFonts w:hint="eastAsia" w:asciiTheme="minorEastAsia" w:hAnsiTheme="minorEastAsia"/>
          <w:color w:val="000000" w:themeColor="text1"/>
          <w:szCs w:val="44"/>
          <w14:textFill>
            <w14:solidFill>
              <w14:schemeClr w14:val="tx1"/>
            </w14:solidFill>
          </w14:textFill>
        </w:rPr>
        <w:t>披露的事项及原因</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i/>
                <w:color w:val="000000" w:themeColor="text1"/>
                <w:szCs w:val="44"/>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由于国家秘密、商业秘密等特殊原因导致本模板规定的某些信息确实不便披露的，公司可以不予披露，但应详细说明未按要求进行披露的原因。</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rPr>
          <w:rFonts w:ascii="宋体" w:hAnsi="宋体" w:eastAsia="宋体" w:cs="Times New Roman"/>
          <w:color w:val="000000"/>
          <w:szCs w:val="44"/>
        </w:rPr>
      </w:pPr>
      <w:r>
        <w:rPr>
          <w:rFonts w:ascii="宋体" w:hAnsi="宋体" w:eastAsia="宋体" w:cs="Times New Roman"/>
          <w:color w:val="000000"/>
          <w:szCs w:val="44"/>
        </w:rPr>
        <w:t>4</w:t>
      </w:r>
      <w:r>
        <w:rPr>
          <w:rFonts w:hint="eastAsia" w:ascii="宋体" w:hAnsi="宋体" w:eastAsia="宋体" w:cs="Times New Roman"/>
          <w:color w:val="000000"/>
          <w:szCs w:val="44"/>
        </w:rPr>
        <w:t>、</w:t>
      </w:r>
      <w:r>
        <w:rPr>
          <w:rFonts w:hint="eastAsia" w:ascii="宋体" w:hAnsi="宋体" w:eastAsia="宋体" w:cs="Times New Roman"/>
          <w:color w:val="000000"/>
          <w:szCs w:val="21"/>
        </w:rPr>
        <w:t>董事会</w:t>
      </w:r>
      <w:r>
        <w:rPr>
          <w:rFonts w:ascii="宋体" w:hAnsi="宋体" w:eastAsia="宋体" w:cs="Times New Roman"/>
          <w:color w:val="000000"/>
          <w:szCs w:val="21"/>
        </w:rPr>
        <w:t>就非标准审计</w:t>
      </w:r>
      <w:r>
        <w:rPr>
          <w:rFonts w:hint="eastAsia" w:ascii="宋体" w:hAnsi="宋体" w:eastAsia="宋体" w:cs="Times New Roman"/>
          <w:color w:val="000000"/>
          <w:szCs w:val="21"/>
        </w:rPr>
        <w:t>意见</w:t>
      </w:r>
      <w:r>
        <w:rPr>
          <w:rFonts w:ascii="宋体" w:hAnsi="宋体" w:eastAsia="宋体" w:cs="Times New Roman"/>
          <w:color w:val="000000"/>
          <w:szCs w:val="21"/>
        </w:rPr>
        <w:t>的说明</w:t>
      </w:r>
    </w:p>
    <w:tbl>
      <w:tblPr>
        <w:tblStyle w:val="46"/>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21"/>
              </w:rPr>
            </w:pPr>
            <w:r>
              <w:rPr>
                <w:rFonts w:ascii="宋体" w:hAnsi="宋体" w:eastAsia="宋体" w:cs="Times New Roman"/>
                <w:i/>
                <w:color w:val="FF0000"/>
                <w:szCs w:val="21"/>
              </w:rPr>
              <w:t>说明中应当明确说明非标准审计意见涉及事项是否违反企业会计准则及其相关信息披露规范性规定</w:t>
            </w:r>
            <w:r>
              <w:rPr>
                <w:rFonts w:hint="eastAsia" w:ascii="宋体" w:hAnsi="宋体" w:eastAsia="宋体" w:cs="Times New Roman"/>
                <w:i/>
                <w:color w:val="FF0000"/>
                <w:szCs w:val="21"/>
              </w:rPr>
              <w:t>。</w:t>
            </w:r>
          </w:p>
          <w:p>
            <w:pPr>
              <w:tabs>
                <w:tab w:val="left" w:pos="5140"/>
              </w:tabs>
              <w:rPr>
                <w:rFonts w:ascii="宋体" w:hAnsi="宋体" w:eastAsia="宋体" w:cs="Times New Roman"/>
                <w:color w:val="000000"/>
                <w:szCs w:val="44"/>
              </w:rPr>
            </w:pPr>
          </w:p>
        </w:tc>
      </w:tr>
    </w:tbl>
    <w:p>
      <w:pPr>
        <w:pStyle w:val="44"/>
        <w:rPr>
          <w:rFonts w:ascii="黑体" w:hAnsi="黑体" w:eastAsia="黑体"/>
          <w:b w:val="0"/>
          <w:sz w:val="36"/>
          <w:szCs w:val="36"/>
        </w:rPr>
      </w:pPr>
      <w:bookmarkStart w:id="1" w:name="_Toc505095878"/>
      <w:r>
        <w:rPr>
          <w:rFonts w:hint="eastAsia" w:ascii="黑体" w:hAnsi="黑体" w:eastAsia="黑体"/>
          <w:b w:val="0"/>
          <w:sz w:val="36"/>
          <w:szCs w:val="36"/>
        </w:rPr>
        <w:t>第二节 公司基本情况</w:t>
      </w:r>
      <w:bookmarkEnd w:id="1"/>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一、主要</w:t>
      </w:r>
      <w:r>
        <w:rPr>
          <w:rFonts w:ascii="微软雅黑" w:hAnsi="微软雅黑" w:eastAsia="微软雅黑"/>
          <w:b/>
          <w:color w:val="000000" w:themeColor="text1"/>
          <w:sz w:val="22"/>
          <w:szCs w:val="44"/>
          <w14:textFill>
            <w14:solidFill>
              <w14:schemeClr w14:val="tx1"/>
            </w14:solidFill>
          </w14:textFill>
        </w:rPr>
        <w:t>财务数据</w:t>
      </w:r>
    </w:p>
    <w:p>
      <w:pPr>
        <w:pStyle w:val="19"/>
        <w:kinsoku w:val="0"/>
        <w:overflowPunct w:val="0"/>
        <w:spacing w:before="18"/>
        <w:ind w:right="16"/>
        <w:jc w:val="right"/>
      </w:pPr>
      <w:r>
        <w:rPr>
          <w:rFonts w:hint="eastAsia"/>
        </w:rPr>
        <w:t>单位：元</w:t>
      </w:r>
    </w:p>
    <w:tbl>
      <w:tblPr>
        <w:tblStyle w:val="46"/>
        <w:tblW w:w="9782" w:type="dxa"/>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296"/>
        <w:gridCol w:w="2382"/>
        <w:gridCol w:w="19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3119" w:type="dxa"/>
            <w:shd w:val="pct10" w:color="auto" w:fill="auto"/>
            <w:vAlign w:val="center"/>
          </w:tcPr>
          <w:p>
            <w:pPr>
              <w:jc w:val="center"/>
              <w:rPr>
                <w:rFonts w:asciiTheme="minorEastAsia" w:hAnsiTheme="minorEastAsia"/>
                <w:b/>
                <w:sz w:val="22"/>
              </w:rPr>
            </w:pPr>
          </w:p>
        </w:tc>
        <w:tc>
          <w:tcPr>
            <w:tcW w:w="229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2024</w:t>
            </w:r>
            <w:r>
              <w:rPr>
                <w:rFonts w:hint="eastAsia" w:asciiTheme="minorEastAsia" w:hAnsiTheme="minorEastAsia"/>
                <w:b/>
                <w:sz w:val="22"/>
              </w:rPr>
              <w:t>年</w:t>
            </w:r>
            <w:r>
              <w:rPr>
                <w:rFonts w:asciiTheme="minorEastAsia" w:hAnsiTheme="minorEastAsia"/>
                <w:b/>
                <w:sz w:val="22"/>
              </w:rPr>
              <w:t>3</w:t>
            </w:r>
            <w:r>
              <w:rPr>
                <w:rFonts w:hint="eastAsia" w:asciiTheme="minorEastAsia" w:hAnsiTheme="minorEastAsia"/>
                <w:b/>
                <w:sz w:val="22"/>
              </w:rPr>
              <w:t>月</w:t>
            </w:r>
            <w:r>
              <w:rPr>
                <w:rFonts w:asciiTheme="minorEastAsia" w:hAnsiTheme="minorEastAsia"/>
                <w:b/>
                <w:sz w:val="22"/>
              </w:rPr>
              <w:t>31</w:t>
            </w:r>
            <w:r>
              <w:rPr>
                <w:rFonts w:hint="eastAsia" w:asciiTheme="minorEastAsia" w:hAnsiTheme="minorEastAsia"/>
                <w:b/>
                <w:sz w:val="22"/>
              </w:rPr>
              <w:t>日）</w:t>
            </w:r>
          </w:p>
        </w:tc>
        <w:tc>
          <w:tcPr>
            <w:tcW w:w="2382"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上年期末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2023</w:t>
            </w:r>
            <w:r>
              <w:rPr>
                <w:rFonts w:hint="eastAsia" w:asciiTheme="minorEastAsia" w:hAnsiTheme="minorEastAsia"/>
                <w:b/>
                <w:sz w:val="22"/>
              </w:rPr>
              <w:t>年</w:t>
            </w:r>
            <w:r>
              <w:rPr>
                <w:rFonts w:asciiTheme="minorEastAsia" w:hAnsiTheme="minorEastAsia"/>
                <w:b/>
                <w:sz w:val="22"/>
              </w:rPr>
              <w:t>12</w:t>
            </w:r>
            <w:r>
              <w:rPr>
                <w:rFonts w:hint="eastAsia" w:asciiTheme="minorEastAsia" w:hAnsiTheme="minorEastAsia"/>
                <w:b/>
                <w:sz w:val="22"/>
              </w:rPr>
              <w:t>月</w:t>
            </w:r>
            <w:r>
              <w:rPr>
                <w:rFonts w:asciiTheme="minorEastAsia" w:hAnsiTheme="minorEastAsia"/>
                <w:b/>
                <w:sz w:val="22"/>
              </w:rPr>
              <w:t>31</w:t>
            </w:r>
            <w:r>
              <w:rPr>
                <w:rFonts w:hint="eastAsia" w:asciiTheme="minorEastAsia" w:hAnsiTheme="minorEastAsia"/>
                <w:b/>
                <w:sz w:val="22"/>
              </w:rPr>
              <w:t>日）</w:t>
            </w:r>
          </w:p>
        </w:tc>
        <w:tc>
          <w:tcPr>
            <w:tcW w:w="1985"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报告期末比上年期末增减比例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3119"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资产总计</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归属于上市公司股东的净资产</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（母公司）</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（合并）</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bl>
    <w:p>
      <w:pPr>
        <w:rPr>
          <w:rFonts w:asciiTheme="minorEastAsia" w:hAnsiTheme="minorEastAsia"/>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rFonts w:asciiTheme="minorEastAsia" w:hAnsiTheme="minorEastAsia"/>
                <w:b/>
                <w:sz w:val="22"/>
              </w:rPr>
            </w:pPr>
          </w:p>
        </w:tc>
        <w:tc>
          <w:tcPr>
            <w:tcW w:w="212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2024</w:t>
            </w:r>
            <w:r>
              <w:rPr>
                <w:rFonts w:hint="eastAsia" w:asciiTheme="minorEastAsia" w:hAnsiTheme="minorEastAsia"/>
                <w:b/>
                <w:sz w:val="22"/>
              </w:rPr>
              <w:t>年</w:t>
            </w:r>
            <w:r>
              <w:rPr>
                <w:rFonts w:asciiTheme="minorEastAsia" w:hAnsiTheme="minorEastAsia"/>
                <w:b/>
                <w:sz w:val="22"/>
              </w:rPr>
              <w:t>1-3</w:t>
            </w:r>
            <w:r>
              <w:rPr>
                <w:rFonts w:hint="eastAsia" w:asciiTheme="minorEastAsia" w:hAnsiTheme="minorEastAsia"/>
                <w:b/>
                <w:sz w:val="22"/>
              </w:rPr>
              <w:t>月）</w:t>
            </w:r>
          </w:p>
        </w:tc>
        <w:tc>
          <w:tcPr>
            <w:tcW w:w="2410" w:type="dxa"/>
            <w:shd w:val="pct10" w:color="auto" w:fill="auto"/>
            <w:vAlign w:val="center"/>
          </w:tcPr>
          <w:p>
            <w:pPr>
              <w:ind w:firstLine="552" w:firstLineChars="250"/>
              <w:rPr>
                <w:rFonts w:asciiTheme="minorEastAsia" w:hAnsiTheme="minorEastAsia"/>
                <w:b/>
                <w:sz w:val="22"/>
              </w:rPr>
            </w:pPr>
            <w:r>
              <w:rPr>
                <w:rFonts w:hint="eastAsia" w:asciiTheme="minorEastAsia" w:hAnsiTheme="minorEastAsia"/>
                <w:b/>
                <w:sz w:val="22"/>
              </w:rPr>
              <w:t>上年同期</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2023</w:t>
            </w:r>
            <w:r>
              <w:rPr>
                <w:rFonts w:hint="eastAsia" w:asciiTheme="minorEastAsia" w:hAnsiTheme="minorEastAsia"/>
                <w:b/>
                <w:sz w:val="22"/>
              </w:rPr>
              <w:t>年</w:t>
            </w:r>
            <w:r>
              <w:rPr>
                <w:rFonts w:asciiTheme="minorEastAsia" w:hAnsiTheme="minorEastAsia"/>
                <w:b/>
                <w:sz w:val="22"/>
              </w:rPr>
              <w:t>1-3</w:t>
            </w:r>
            <w:r>
              <w:rPr>
                <w:rFonts w:hint="eastAsia" w:asciiTheme="minorEastAsia" w:hAnsiTheme="minorEastAsia"/>
                <w:b/>
                <w:sz w:val="22"/>
              </w:rPr>
              <w:t>月）</w:t>
            </w:r>
          </w:p>
        </w:tc>
        <w:tc>
          <w:tcPr>
            <w:tcW w:w="214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年初至报告期末比上年同期增减比例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归属于上市公司股东的净利润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归属于上市公司股东的扣除非经常性损益后的净利润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b/>
        </w:rPr>
      </w:pPr>
    </w:p>
    <w:p>
      <w:pPr>
        <w:rPr>
          <w:rFonts w:ascii="宋体" w:hAnsi="宋体" w:eastAsia="宋体" w:cs="Times New Roman"/>
          <w:b/>
          <w:color w:val="000000"/>
          <w:szCs w:val="44"/>
        </w:rPr>
      </w:pPr>
      <w:r>
        <w:rPr>
          <w:rFonts w:hint="eastAsia" w:ascii="宋体" w:hAnsi="宋体" w:eastAsia="宋体" w:cs="Times New Roman"/>
          <w:b/>
          <w:color w:val="000000"/>
          <w:szCs w:val="44"/>
        </w:rPr>
        <w:t>财务数据重大变动原因</w:t>
      </w:r>
      <w:r>
        <w:rPr>
          <w:rFonts w:ascii="宋体" w:hAnsi="宋体" w:eastAsia="宋体" w:cs="Times New Roman"/>
          <w:b/>
          <w:color w:val="000000"/>
          <w:szCs w:val="44"/>
        </w:rPr>
        <w:t>：</w:t>
      </w:r>
    </w:p>
    <w:p>
      <w:r>
        <w:rPr>
          <w:rFonts w:hint="eastAsia"/>
        </w:rPr>
        <w:t>□  适用  □  不适用</w:t>
      </w:r>
    </w:p>
    <w:tbl>
      <w:tblPr>
        <w:tblStyle w:val="46"/>
        <w:tblW w:w="9803"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263"/>
        <w:gridCol w:w="2268"/>
        <w:gridCol w:w="1134"/>
        <w:gridCol w:w="41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jc w:val="center"/>
        </w:trPr>
        <w:tc>
          <w:tcPr>
            <w:tcW w:w="2263" w:type="dxa"/>
            <w:shd w:val="pct10" w:color="auto" w:fill="auto"/>
            <w:vAlign w:val="center"/>
          </w:tcPr>
          <w:p>
            <w:pPr>
              <w:jc w:val="center"/>
              <w:rPr>
                <w:rFonts w:asciiTheme="minorEastAsia" w:hAnsiTheme="minorEastAsia"/>
                <w:b/>
                <w:sz w:val="22"/>
              </w:rPr>
            </w:pPr>
            <w:r>
              <w:rPr>
                <w:rFonts w:hint="eastAsia"/>
                <w:b/>
                <w:sz w:val="22"/>
              </w:rPr>
              <w:t>合并</w:t>
            </w:r>
            <w:r>
              <w:rPr>
                <w:b/>
                <w:sz w:val="22"/>
              </w:rPr>
              <w:t>资产负债表</w:t>
            </w:r>
            <w:r>
              <w:rPr>
                <w:rFonts w:hint="eastAsia"/>
                <w:b/>
                <w:sz w:val="22"/>
              </w:rPr>
              <w:t>项目</w:t>
            </w:r>
          </w:p>
        </w:tc>
        <w:tc>
          <w:tcPr>
            <w:tcW w:w="2268"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2024</w:t>
            </w:r>
            <w:r>
              <w:rPr>
                <w:rFonts w:hint="eastAsia" w:asciiTheme="minorEastAsia" w:hAnsiTheme="minorEastAsia"/>
                <w:b/>
                <w:sz w:val="22"/>
              </w:rPr>
              <w:t>年</w:t>
            </w:r>
            <w:r>
              <w:rPr>
                <w:rFonts w:asciiTheme="minorEastAsia" w:hAnsiTheme="minorEastAsia"/>
                <w:b/>
                <w:sz w:val="22"/>
              </w:rPr>
              <w:t>3</w:t>
            </w:r>
            <w:r>
              <w:rPr>
                <w:rFonts w:hint="eastAsia" w:asciiTheme="minorEastAsia" w:hAnsiTheme="minorEastAsia"/>
                <w:b/>
                <w:sz w:val="22"/>
              </w:rPr>
              <w:t>月</w:t>
            </w:r>
            <w:r>
              <w:rPr>
                <w:rFonts w:asciiTheme="minorEastAsia" w:hAnsiTheme="minorEastAsia"/>
                <w:b/>
                <w:sz w:val="22"/>
              </w:rPr>
              <w:t>31</w:t>
            </w:r>
            <w:r>
              <w:rPr>
                <w:rFonts w:hint="eastAsia" w:asciiTheme="minorEastAsia" w:hAnsiTheme="minorEastAsia"/>
                <w:b/>
                <w:sz w:val="22"/>
              </w:rPr>
              <w:t>日）</w:t>
            </w:r>
          </w:p>
        </w:tc>
        <w:tc>
          <w:tcPr>
            <w:tcW w:w="1134" w:type="dxa"/>
            <w:shd w:val="pct10" w:color="auto" w:fill="auto"/>
            <w:vAlign w:val="center"/>
          </w:tcPr>
          <w:p>
            <w:pPr>
              <w:rPr>
                <w:rFonts w:asciiTheme="minorEastAsia" w:hAnsiTheme="minorEastAsia"/>
                <w:b/>
                <w:sz w:val="22"/>
              </w:rPr>
            </w:pPr>
            <w:r>
              <w:rPr>
                <w:rFonts w:hint="eastAsia" w:asciiTheme="minorEastAsia" w:hAnsiTheme="minorEastAsia"/>
                <w:b/>
                <w:sz w:val="22"/>
              </w:rPr>
              <w:t>变动幅度</w:t>
            </w:r>
          </w:p>
        </w:tc>
        <w:tc>
          <w:tcPr>
            <w:tcW w:w="4138"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变动说明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jc w:val="center"/>
        </w:trPr>
        <w:tc>
          <w:tcPr>
            <w:tcW w:w="2263" w:type="dxa"/>
          </w:tcPr>
          <w:p>
            <w:pPr>
              <w:rPr>
                <w:rFonts w:asciiTheme="minorEastAsia" w:hAnsiTheme="minorEastAsia"/>
                <w:sz w:val="22"/>
              </w:rPr>
            </w:pP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shd w:val="clear" w:color="auto" w:fill="D8D8D8" w:themeFill="background1" w:themeFillShade="D9"/>
            <w:vAlign w:val="center"/>
          </w:tcPr>
          <w:p>
            <w:pPr>
              <w:jc w:val="center"/>
              <w:rPr>
                <w:b/>
                <w:sz w:val="22"/>
              </w:rPr>
            </w:pPr>
            <w:r>
              <w:rPr>
                <w:rFonts w:hint="eastAsia"/>
                <w:b/>
                <w:sz w:val="22"/>
              </w:rPr>
              <w:t>合并利润表项目</w:t>
            </w:r>
          </w:p>
        </w:tc>
        <w:tc>
          <w:tcPr>
            <w:tcW w:w="2268" w:type="dxa"/>
            <w:shd w:val="clear" w:color="auto" w:fill="D8D8D8" w:themeFill="background1" w:themeFillShade="D9"/>
            <w:vAlign w:val="center"/>
          </w:tcPr>
          <w:p>
            <w:pPr>
              <w:jc w:val="center"/>
              <w:rPr>
                <w:b/>
                <w:sz w:val="22"/>
              </w:rPr>
            </w:pPr>
            <w:r>
              <w:rPr>
                <w:rFonts w:hint="eastAsia"/>
                <w:b/>
                <w:sz w:val="22"/>
              </w:rPr>
              <w:t>本年累计</w:t>
            </w:r>
          </w:p>
        </w:tc>
        <w:tc>
          <w:tcPr>
            <w:tcW w:w="1134" w:type="dxa"/>
            <w:shd w:val="clear" w:color="auto" w:fill="D8D8D8" w:themeFill="background1" w:themeFillShade="D9"/>
            <w:vAlign w:val="center"/>
          </w:tcPr>
          <w:p>
            <w:pPr>
              <w:jc w:val="center"/>
              <w:rPr>
                <w:b/>
                <w:sz w:val="22"/>
              </w:rPr>
            </w:pPr>
            <w:r>
              <w:rPr>
                <w:rFonts w:hint="eastAsia"/>
                <w:b/>
                <w:sz w:val="22"/>
              </w:rPr>
              <w:t>变动幅度</w:t>
            </w:r>
          </w:p>
        </w:tc>
        <w:tc>
          <w:tcPr>
            <w:tcW w:w="4138" w:type="dxa"/>
            <w:shd w:val="clear" w:color="auto" w:fill="D8D8D8" w:themeFill="background1" w:themeFillShade="D9"/>
            <w:vAlign w:val="center"/>
          </w:tcPr>
          <w:p>
            <w:pPr>
              <w:jc w:val="center"/>
              <w:rPr>
                <w:b/>
                <w:sz w:val="22"/>
              </w:rPr>
            </w:pPr>
            <w:r>
              <w:rPr>
                <w:rFonts w:hint="eastAsia"/>
                <w:b/>
                <w:sz w:val="22"/>
              </w:rPr>
              <w:t>变动说明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shd w:val="clear" w:color="auto" w:fill="D8D8D8" w:themeFill="background1" w:themeFillShade="D9"/>
            <w:vAlign w:val="center"/>
          </w:tcPr>
          <w:p>
            <w:pPr>
              <w:jc w:val="center"/>
              <w:rPr>
                <w:b/>
                <w:sz w:val="22"/>
              </w:rPr>
            </w:pPr>
            <w:r>
              <w:rPr>
                <w:rFonts w:hint="eastAsia"/>
                <w:b/>
                <w:sz w:val="22"/>
              </w:rPr>
              <w:t>合并现金</w:t>
            </w:r>
            <w:r>
              <w:rPr>
                <w:b/>
                <w:sz w:val="22"/>
              </w:rPr>
              <w:t>流量表</w:t>
            </w:r>
            <w:r>
              <w:rPr>
                <w:rFonts w:hint="eastAsia"/>
                <w:b/>
                <w:sz w:val="22"/>
              </w:rPr>
              <w:t>项目</w:t>
            </w:r>
          </w:p>
        </w:tc>
        <w:tc>
          <w:tcPr>
            <w:tcW w:w="2268" w:type="dxa"/>
            <w:shd w:val="clear" w:color="auto" w:fill="D8D8D8" w:themeFill="background1" w:themeFillShade="D9"/>
            <w:vAlign w:val="center"/>
          </w:tcPr>
          <w:p>
            <w:pPr>
              <w:jc w:val="center"/>
              <w:rPr>
                <w:b/>
                <w:sz w:val="22"/>
              </w:rPr>
            </w:pPr>
            <w:r>
              <w:rPr>
                <w:rFonts w:hint="eastAsia"/>
                <w:b/>
                <w:sz w:val="22"/>
              </w:rPr>
              <w:t>本年累计</w:t>
            </w:r>
          </w:p>
        </w:tc>
        <w:tc>
          <w:tcPr>
            <w:tcW w:w="1134" w:type="dxa"/>
            <w:shd w:val="clear" w:color="auto" w:fill="D8D8D8" w:themeFill="background1" w:themeFillShade="D9"/>
            <w:vAlign w:val="center"/>
          </w:tcPr>
          <w:p>
            <w:pPr>
              <w:jc w:val="center"/>
              <w:rPr>
                <w:b/>
                <w:sz w:val="22"/>
              </w:rPr>
            </w:pPr>
            <w:r>
              <w:rPr>
                <w:rFonts w:hint="eastAsia"/>
                <w:b/>
                <w:sz w:val="22"/>
              </w:rPr>
              <w:t>变动幅度</w:t>
            </w:r>
          </w:p>
        </w:tc>
        <w:tc>
          <w:tcPr>
            <w:tcW w:w="4138" w:type="dxa"/>
            <w:shd w:val="clear" w:color="auto" w:fill="D8D8D8" w:themeFill="background1" w:themeFillShade="D9"/>
            <w:vAlign w:val="center"/>
          </w:tcPr>
          <w:p>
            <w:pPr>
              <w:jc w:val="center"/>
              <w:rPr>
                <w:b/>
                <w:sz w:val="22"/>
              </w:rPr>
            </w:pPr>
            <w:r>
              <w:rPr>
                <w:rFonts w:hint="eastAsia"/>
                <w:b/>
                <w:sz w:val="22"/>
              </w:rPr>
              <w:t>变动说明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bl>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注：公司重要会计数据、财务指标与上年度期末或上年同期相比增减变动幅度超过</w:t>
      </w:r>
      <w:r>
        <w:rPr>
          <w:rFonts w:ascii="宋体" w:hAnsi="宋体" w:eastAsia="宋体" w:cs="Times New Roman"/>
          <w:i/>
          <w:color w:val="FF0000"/>
          <w:szCs w:val="44"/>
        </w:rPr>
        <w:t>30%的，应当分资产负债表</w:t>
      </w:r>
      <w:r>
        <w:rPr>
          <w:rFonts w:hint="eastAsia" w:ascii="宋体" w:hAnsi="宋体" w:eastAsia="宋体" w:cs="Times New Roman"/>
          <w:i/>
          <w:color w:val="FF0000"/>
          <w:szCs w:val="44"/>
        </w:rPr>
        <w:t>、</w:t>
      </w:r>
      <w:r>
        <w:rPr>
          <w:rFonts w:ascii="宋体" w:hAnsi="宋体" w:eastAsia="宋体" w:cs="Times New Roman"/>
          <w:i/>
          <w:color w:val="FF0000"/>
          <w:szCs w:val="44"/>
        </w:rPr>
        <w:t>利润表</w:t>
      </w:r>
      <w:r>
        <w:rPr>
          <w:rFonts w:hint="eastAsia" w:ascii="宋体" w:hAnsi="宋体" w:eastAsia="宋体" w:cs="Times New Roman"/>
          <w:i/>
          <w:color w:val="FF0000"/>
          <w:szCs w:val="44"/>
        </w:rPr>
        <w:t>、</w:t>
      </w:r>
      <w:r>
        <w:rPr>
          <w:rFonts w:ascii="宋体" w:hAnsi="宋体" w:eastAsia="宋体" w:cs="Times New Roman"/>
          <w:i/>
          <w:color w:val="FF0000"/>
          <w:szCs w:val="44"/>
        </w:rPr>
        <w:t>现金流量表三部分说明情况及主要原因。</w:t>
      </w:r>
    </w:p>
    <w:p>
      <w:pPr>
        <w:rPr>
          <w:b/>
        </w:rPr>
      </w:pPr>
    </w:p>
    <w:p>
      <w:pPr>
        <w:rPr>
          <w:b/>
        </w:rPr>
      </w:pPr>
      <w:r>
        <w:rPr>
          <w:rFonts w:hint="eastAsia"/>
          <w:b/>
        </w:rPr>
        <w:t>年初至报告期末</w:t>
      </w:r>
      <w:r>
        <w:rPr>
          <w:b/>
        </w:rPr>
        <w:t>（1-3</w:t>
      </w:r>
      <w:r>
        <w:rPr>
          <w:rFonts w:hint="eastAsia"/>
          <w:b/>
        </w:rPr>
        <w:t>月</w:t>
      </w:r>
      <w:r>
        <w:rPr>
          <w:b/>
        </w:rPr>
        <w:t>）</w:t>
      </w:r>
      <w:r>
        <w:rPr>
          <w:rFonts w:hint="eastAsia"/>
          <w:b/>
        </w:rPr>
        <w:t>非经常性损益项目和金额：</w:t>
      </w:r>
    </w:p>
    <w:p>
      <w:pPr>
        <w:rPr>
          <w:b/>
        </w:rPr>
      </w:pPr>
      <w:r>
        <w:rPr>
          <w:rFonts w:hint="eastAsia"/>
        </w:rPr>
        <w:t>□  适用  □  不适用</w:t>
      </w:r>
    </w:p>
    <w:p>
      <w:pPr>
        <w:jc w:val="right"/>
        <w:rPr>
          <w:rFonts w:ascii="微软雅黑" w:hAnsi="微软雅黑" w:eastAsia="微软雅黑"/>
          <w:b/>
          <w:sz w:val="22"/>
          <w:szCs w:val="44"/>
        </w:rPr>
      </w:pPr>
      <w:r>
        <w:rPr>
          <w:rFonts w:hint="eastAsia"/>
        </w:rPr>
        <w:t>单位：元</w:t>
      </w:r>
    </w:p>
    <w:tbl>
      <w:tblPr>
        <w:tblStyle w:val="46"/>
        <w:tblW w:w="938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13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项目</w:t>
            </w:r>
          </w:p>
        </w:tc>
        <w:tc>
          <w:tcPr>
            <w:tcW w:w="4134"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非经常性损益合计</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所得税</w:t>
            </w:r>
            <w:r>
              <w:rPr>
                <w:rFonts w:asciiTheme="minorEastAsia" w:hAnsiTheme="minorEastAsia"/>
                <w:color w:val="000000" w:themeColor="text1"/>
                <w:kern w:val="0"/>
                <w:sz w:val="22"/>
                <w14:textFill>
                  <w14:solidFill>
                    <w14:schemeClr w14:val="tx1"/>
                  </w14:solidFill>
                </w14:textFill>
              </w:rPr>
              <w:t>影响数</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少数股东权益影响额（税后）</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w:t>
            </w:r>
            <w:r>
              <w:rPr>
                <w:rFonts w:asciiTheme="minorEastAsia" w:hAnsiTheme="minorEastAsia"/>
                <w:b/>
                <w:color w:val="000000" w:themeColor="text1"/>
                <w:kern w:val="0"/>
                <w:sz w:val="22"/>
                <w14:textFill>
                  <w14:solidFill>
                    <w14:schemeClr w14:val="tx1"/>
                  </w14:solidFill>
                </w14:textFill>
              </w:rPr>
              <w:t>损益净额</w:t>
            </w:r>
          </w:p>
        </w:tc>
        <w:tc>
          <w:tcPr>
            <w:tcW w:w="4134" w:type="dxa"/>
          </w:tcPr>
          <w:p>
            <w:pPr>
              <w:rPr>
                <w:rFonts w:asciiTheme="minorEastAsia" w:hAnsiTheme="minorEastAsia"/>
                <w:color w:val="000000" w:themeColor="text1"/>
                <w:kern w:val="0"/>
                <w:sz w:val="22"/>
                <w14:textFill>
                  <w14:solidFill>
                    <w14:schemeClr w14:val="tx1"/>
                  </w14:solidFill>
                </w14:textFill>
              </w:rPr>
            </w:pPr>
          </w:p>
        </w:tc>
      </w:tr>
    </w:tbl>
    <w:p>
      <w:pPr>
        <w:rPr>
          <w:rFonts w:ascii="宋体" w:hAnsi="宋体" w:eastAsia="宋体"/>
          <w:b/>
        </w:rPr>
      </w:pPr>
    </w:p>
    <w:p>
      <w:pPr>
        <w:rPr>
          <w:rFonts w:ascii="宋体" w:hAnsi="宋体" w:eastAsia="宋体"/>
          <w:b/>
        </w:rPr>
      </w:pPr>
      <w:r>
        <w:rPr>
          <w:rFonts w:hint="eastAsia" w:ascii="宋体" w:hAnsi="宋体" w:eastAsia="宋体"/>
          <w:b/>
        </w:rPr>
        <w:t>补充财务指标：</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适用</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不适用</w:t>
      </w:r>
    </w:p>
    <w:tbl>
      <w:tblPr>
        <w:tblStyle w:val="46"/>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注：公司可以根据实际情况选择与企业经营关联性强、体现企业核心竞争力的关键指标进行披露，例如市场份额、客户保持率、研发投入与当期营业收入比、新产品投资回报率等。</w:t>
            </w:r>
          </w:p>
          <w:p>
            <w:pPr>
              <w:tabs>
                <w:tab w:val="left" w:pos="5140"/>
              </w:tabs>
              <w:rPr>
                <w:rFonts w:ascii="宋体" w:hAnsi="宋体" w:eastAsia="宋体" w:cs="Times New Roman"/>
                <w:i/>
                <w:color w:val="000000"/>
                <w:szCs w:val="44"/>
              </w:rPr>
            </w:pPr>
            <w:r>
              <w:rPr>
                <w:rFonts w:hint="eastAsia" w:ascii="宋体" w:hAnsi="宋体" w:eastAsia="宋体" w:cs="Times New Roman"/>
                <w:i/>
                <w:color w:val="FF0000"/>
                <w:szCs w:val="44"/>
              </w:rPr>
              <w:t>自愿披露的指标应有助于投资者判断企业经营状况，列示指标时应当说明计算的方法及所用数据的来源。</w:t>
            </w:r>
          </w:p>
        </w:tc>
      </w:tr>
    </w:tbl>
    <w:p>
      <w:pPr>
        <w:rPr>
          <w:b/>
        </w:rPr>
      </w:pPr>
    </w:p>
    <w:p>
      <w:pPr>
        <w:rPr>
          <w:b/>
        </w:rPr>
      </w:pPr>
      <w:r>
        <w:rPr>
          <w:rFonts w:hint="eastAsia"/>
          <w:b/>
        </w:rPr>
        <w:t>会计数据</w:t>
      </w:r>
      <w:r>
        <w:rPr>
          <w:b/>
        </w:rPr>
        <w:t>追溯调整或重述情况</w:t>
      </w:r>
      <w:r>
        <w:rPr>
          <w:rFonts w:hint="eastAsia"/>
          <w:b/>
        </w:rPr>
        <w:t>：</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会计政策变更</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会计差错更正</w:t>
      </w:r>
      <w:r>
        <w:rPr>
          <w:rFonts w:ascii="Calibri" w:hAnsi="Calibri" w:eastAsia="宋体" w:cs="Times New Roman"/>
        </w:rPr>
        <w:t xml:space="preserve">      </w:t>
      </w:r>
      <w:r>
        <w:rPr>
          <w:rFonts w:hint="eastAsia"/>
        </w:rPr>
        <w:t>□</w:t>
      </w:r>
      <w:r>
        <w:t xml:space="preserve">  </w:t>
      </w:r>
      <w:r>
        <w:rPr>
          <w:rFonts w:hint="eastAsia"/>
        </w:rPr>
        <w:t>其他原因</w:t>
      </w:r>
      <w:r>
        <w:rPr>
          <w:rFonts w:hint="eastAsia"/>
          <w:color w:val="FF0000"/>
          <w:u w:val="single"/>
        </w:rPr>
        <w:t xml:space="preserve">（请填写具体原因）  </w:t>
      </w:r>
      <w:r>
        <w:rPr>
          <w:color w:val="FF0000"/>
          <w:u w:val="single"/>
        </w:rPr>
        <w:t xml:space="preserve">  </w:t>
      </w:r>
      <w:r>
        <w:rPr>
          <w:rFonts w:hint="eastAsia"/>
          <w:color w:val="FF0000"/>
          <w:u w:val="single"/>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 xml:space="preserve">不适用 </w:t>
      </w:r>
    </w:p>
    <w:p>
      <w:pPr>
        <w:jc w:val="right"/>
        <w:rPr>
          <w:rFonts w:ascii="Calibri" w:hAnsi="Calibri" w:eastAsia="宋体" w:cs="Times New Roman"/>
          <w:szCs w:val="21"/>
        </w:rPr>
      </w:pPr>
      <w:r>
        <w:rPr>
          <w:rFonts w:hint="eastAsia" w:ascii="Calibri" w:hAnsi="Calibri" w:eastAsia="宋体" w:cs="Times New Roman"/>
        </w:rPr>
        <w:t xml:space="preserve">      </w:t>
      </w:r>
      <w:r>
        <w:rPr>
          <w:rFonts w:hint="eastAsia" w:ascii="Calibri" w:hAnsi="Calibri" w:eastAsia="宋体" w:cs="Times New Roman"/>
          <w:szCs w:val="21"/>
        </w:rPr>
        <w:t xml:space="preserve"> </w:t>
      </w:r>
      <w:r>
        <w:rPr>
          <w:rFonts w:hint="eastAsia" w:ascii="宋体" w:hAnsi="宋体" w:eastAsia="宋体" w:cs="Times New Roman"/>
          <w:kern w:val="0"/>
          <w:szCs w:val="21"/>
        </w:rPr>
        <w:t>单位：元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419"/>
        <w:gridCol w:w="2055"/>
        <w:gridCol w:w="2055"/>
        <w:gridCol w:w="2055"/>
        <w:gridCol w:w="20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科目</w:t>
            </w:r>
          </w:p>
        </w:tc>
        <w:tc>
          <w:tcPr>
            <w:tcW w:w="4110" w:type="dxa"/>
            <w:gridSpan w:val="2"/>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上年同期</w:t>
            </w:r>
            <w:r>
              <w:rPr>
                <w:rFonts w:ascii="宋体" w:hAnsi="宋体" w:eastAsia="宋体" w:cs="Times New Roman"/>
                <w:b/>
                <w:color w:val="000000"/>
                <w:kern w:val="0"/>
                <w:sz w:val="22"/>
              </w:rPr>
              <w:t>）</w:t>
            </w:r>
          </w:p>
        </w:tc>
        <w:tc>
          <w:tcPr>
            <w:tcW w:w="4110" w:type="dxa"/>
            <w:gridSpan w:val="2"/>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上上年同期</w:t>
            </w:r>
            <w:r>
              <w:rPr>
                <w:rFonts w:ascii="宋体" w:hAnsi="宋体" w:eastAsia="宋体" w:cs="Times New Roman"/>
                <w:b/>
                <w:color w:val="00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宋体" w:hAnsi="宋体" w:eastAsia="宋体" w:cs="Times New Roman"/>
                <w:b/>
                <w:color w:val="000000"/>
                <w:kern w:val="0"/>
                <w:sz w:val="22"/>
              </w:rPr>
            </w:pP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w:t>
            </w:r>
            <w:r>
              <w:rPr>
                <w:rFonts w:ascii="宋体" w:hAnsi="宋体" w:eastAsia="宋体" w:cs="Times New Roman"/>
                <w:b/>
                <w:color w:val="000000"/>
                <w:kern w:val="0"/>
                <w:sz w:val="22"/>
              </w:rPr>
              <w:t>重述后</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1419" w:type="dxa"/>
          </w:tcPr>
          <w:p>
            <w:pPr>
              <w:jc w:val="left"/>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419" w:type="dxa"/>
          </w:tcPr>
          <w:p>
            <w:pPr>
              <w:jc w:val="cente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7" w:hRule="atLeast"/>
        </w:trPr>
        <w:tc>
          <w:tcPr>
            <w:tcW w:w="1419" w:type="dxa"/>
          </w:tcPr>
          <w:p>
            <w:pPr>
              <w:jc w:val="left"/>
              <w:rPr>
                <w:rFonts w:ascii="宋体" w:hAnsi="宋体" w:eastAsia="宋体" w:cs="Times New Roman"/>
                <w:color w:val="000000"/>
                <w:kern w:val="0"/>
                <w:sz w:val="22"/>
              </w:rPr>
            </w:pPr>
            <w:r>
              <w:rPr>
                <w:rFonts w:hint="eastAsia" w:ascii="宋体" w:hAnsi="宋体" w:eastAsia="宋体" w:cs="Times New Roman"/>
                <w:color w:val="000000"/>
                <w:kern w:val="0"/>
                <w:sz w:val="22"/>
              </w:rPr>
              <w:t>（自动添行</w:t>
            </w:r>
            <w:r>
              <w:rPr>
                <w:rFonts w:ascii="宋体" w:hAnsi="宋体" w:eastAsia="宋体" w:cs="Times New Roman"/>
                <w:color w:val="000000"/>
                <w:kern w:val="0"/>
                <w:sz w:val="22"/>
              </w:rPr>
              <w:t>）</w:t>
            </w: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bl>
    <w:p>
      <w:pPr>
        <w:pStyle w:val="64"/>
        <w:kinsoku w:val="0"/>
        <w:overflowPunct w:val="0"/>
        <w:autoSpaceDE w:val="0"/>
        <w:autoSpaceDN w:val="0"/>
        <w:adjustRightInd w:val="0"/>
        <w:ind w:left="-567" w:leftChars="-270" w:right="-766" w:firstLine="0" w:firstLineChars="0"/>
        <w:rPr>
          <w:rFonts w:eastAsiaTheme="minorEastAsia"/>
        </w:rPr>
      </w:pPr>
      <w:r>
        <w:rPr>
          <w:rFonts w:hint="eastAsia" w:asciiTheme="minorEastAsia" w:hAnsiTheme="minorEastAsia" w:eastAsiaTheme="minorEastAsia"/>
          <w:i/>
          <w:color w:val="FF0000"/>
          <w:szCs w:val="21"/>
        </w:rPr>
        <w:t>注：1. 在报告期内公司因派发股票股利、公积金转增股本但不影响股东权益金额的，应当根据相关会计准则的规定按最新股本调整并列报基本每股收益和稀释每股收益。2.本报告期对以前期间财务数据进行追溯调整或重述的，应当同时列示追溯调整或重述前后的数据。</w:t>
      </w:r>
    </w:p>
    <w:p/>
    <w:p>
      <w:pPr>
        <w:ind w:left="-567" w:leftChars="-270" w:firstLine="426" w:firstLineChars="193"/>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二、报告期期末的普通股</w:t>
      </w:r>
      <w:r>
        <w:rPr>
          <w:rFonts w:ascii="微软雅黑" w:hAnsi="微软雅黑" w:eastAsia="微软雅黑"/>
          <w:b/>
          <w:color w:val="000000" w:themeColor="text1"/>
          <w:sz w:val="22"/>
          <w:szCs w:val="44"/>
          <w14:textFill>
            <w14:solidFill>
              <w14:schemeClr w14:val="tx1"/>
            </w14:solidFill>
          </w14:textFill>
        </w:rPr>
        <w:t>股本结构、</w:t>
      </w:r>
      <w:r>
        <w:rPr>
          <w:rFonts w:hint="eastAsia" w:ascii="微软雅黑" w:hAnsi="微软雅黑" w:eastAsia="微软雅黑"/>
          <w:b/>
          <w:color w:val="000000" w:themeColor="text1"/>
          <w:sz w:val="22"/>
          <w:szCs w:val="44"/>
          <w14:textFill>
            <w14:solidFill>
              <w14:schemeClr w14:val="tx1"/>
            </w14:solidFill>
          </w14:textFill>
        </w:rPr>
        <w:t>持股5%以上的股东或前十名</w:t>
      </w:r>
      <w:r>
        <w:rPr>
          <w:rFonts w:ascii="微软雅黑" w:hAnsi="微软雅黑" w:eastAsia="微软雅黑"/>
          <w:b/>
          <w:color w:val="000000" w:themeColor="text1"/>
          <w:sz w:val="22"/>
          <w:szCs w:val="44"/>
          <w14:textFill>
            <w14:solidFill>
              <w14:schemeClr w14:val="tx1"/>
            </w14:solidFill>
          </w14:textFill>
        </w:rPr>
        <w:t>股东情况</w:t>
      </w:r>
    </w:p>
    <w:p>
      <w:pPr>
        <w:jc w:val="right"/>
      </w:pPr>
      <w:r>
        <w:rPr>
          <w:rFonts w:hint="eastAsia"/>
        </w:rPr>
        <w:t xml:space="preserve">                                                                </w:t>
      </w:r>
      <w:r>
        <w:t xml:space="preserve"> </w:t>
      </w:r>
      <w:r>
        <w:rPr>
          <w:rFonts w:asciiTheme="minorEastAsia" w:hAnsiTheme="minorEastAsia"/>
          <w:szCs w:val="21"/>
        </w:rPr>
        <w:t xml:space="preserve">  </w:t>
      </w:r>
      <w:r>
        <w:rPr>
          <w:rFonts w:hint="eastAsia"/>
        </w:rPr>
        <w:t>单位</w:t>
      </w:r>
      <w:r>
        <w:t>：股</w:t>
      </w:r>
    </w:p>
    <w:tbl>
      <w:tblPr>
        <w:tblStyle w:val="46"/>
        <w:tblW w:w="572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23"/>
        <w:gridCol w:w="3540"/>
        <w:gridCol w:w="977"/>
        <w:gridCol w:w="988"/>
        <w:gridCol w:w="1340"/>
        <w:gridCol w:w="1101"/>
        <w:gridCol w:w="94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gridSpan w:val="7"/>
            <w:shd w:val="pct10" w:color="auto" w:fill="auto"/>
            <w:vAlign w:val="center"/>
          </w:tcPr>
          <w:p>
            <w:pPr>
              <w:jc w:val="center"/>
              <w:rPr>
                <w:b/>
                <w:sz w:val="22"/>
              </w:rPr>
            </w:pPr>
            <w:r>
              <w:rPr>
                <w:rFonts w:hint="eastAsia"/>
                <w:b/>
                <w:sz w:val="22"/>
              </w:rPr>
              <w:t>普通股股本结构</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restart"/>
            <w:shd w:val="pct10" w:color="auto" w:fill="auto"/>
            <w:vAlign w:val="center"/>
          </w:tcPr>
          <w:p>
            <w:pPr>
              <w:jc w:val="center"/>
              <w:rPr>
                <w:b/>
                <w:sz w:val="22"/>
              </w:rPr>
            </w:pPr>
            <w:r>
              <w:rPr>
                <w:rFonts w:hint="eastAsia"/>
                <w:b/>
                <w:sz w:val="22"/>
              </w:rPr>
              <w:t>股份性质</w:t>
            </w:r>
          </w:p>
        </w:tc>
        <w:tc>
          <w:tcPr>
            <w:tcW w:w="1012" w:type="pct"/>
            <w:gridSpan w:val="2"/>
            <w:shd w:val="pct10" w:color="auto" w:fill="auto"/>
            <w:vAlign w:val="center"/>
          </w:tcPr>
          <w:p>
            <w:pPr>
              <w:jc w:val="center"/>
              <w:rPr>
                <w:b/>
                <w:sz w:val="22"/>
              </w:rPr>
            </w:pPr>
            <w:r>
              <w:rPr>
                <w:rFonts w:hint="eastAsia"/>
                <w:b/>
                <w:sz w:val="22"/>
              </w:rPr>
              <w:t>期初</w:t>
            </w:r>
          </w:p>
        </w:tc>
        <w:tc>
          <w:tcPr>
            <w:tcW w:w="690"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052" w:type="pct"/>
            <w:gridSpan w:val="2"/>
            <w:shd w:val="pct10" w:color="auto" w:fill="auto"/>
            <w:vAlign w:val="center"/>
          </w:tcPr>
          <w:p>
            <w:pPr>
              <w:jc w:val="center"/>
              <w:rPr>
                <w:b/>
                <w:sz w:val="22"/>
              </w:rPr>
            </w:pPr>
            <w:r>
              <w:rPr>
                <w:rFonts w:hint="eastAsia"/>
                <w:b/>
                <w:sz w:val="22"/>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continue"/>
            <w:shd w:val="pct10" w:color="auto" w:fill="auto"/>
            <w:vAlign w:val="center"/>
          </w:tcPr>
          <w:p>
            <w:pPr>
              <w:ind w:right="420" w:firstLine="1104" w:firstLineChars="500"/>
              <w:rPr>
                <w:b/>
                <w:sz w:val="22"/>
              </w:rPr>
            </w:pPr>
          </w:p>
        </w:tc>
        <w:tc>
          <w:tcPr>
            <w:tcW w:w="503" w:type="pct"/>
            <w:shd w:val="pct10" w:color="auto" w:fill="auto"/>
            <w:vAlign w:val="center"/>
          </w:tcPr>
          <w:p>
            <w:pPr>
              <w:jc w:val="center"/>
              <w:rPr>
                <w:b/>
                <w:sz w:val="22"/>
              </w:rPr>
            </w:pPr>
            <w:r>
              <w:rPr>
                <w:rFonts w:hint="eastAsia"/>
                <w:b/>
                <w:sz w:val="22"/>
              </w:rPr>
              <w:t>数量</w:t>
            </w:r>
          </w:p>
        </w:tc>
        <w:tc>
          <w:tcPr>
            <w:tcW w:w="509" w:type="pct"/>
            <w:shd w:val="pct10" w:color="auto" w:fill="auto"/>
            <w:vAlign w:val="center"/>
          </w:tcPr>
          <w:p>
            <w:pPr>
              <w:jc w:val="center"/>
              <w:rPr>
                <w:b/>
                <w:sz w:val="22"/>
              </w:rPr>
            </w:pPr>
            <w:r>
              <w:rPr>
                <w:rFonts w:hint="eastAsia"/>
                <w:b/>
                <w:sz w:val="22"/>
              </w:rPr>
              <w:t>比例%</w:t>
            </w:r>
          </w:p>
        </w:tc>
        <w:tc>
          <w:tcPr>
            <w:tcW w:w="690" w:type="pct"/>
            <w:vMerge w:val="continue"/>
            <w:shd w:val="pct10" w:color="auto" w:fill="auto"/>
            <w:vAlign w:val="center"/>
          </w:tcPr>
          <w:p>
            <w:pPr>
              <w:ind w:right="420"/>
              <w:rPr>
                <w:b/>
                <w:sz w:val="22"/>
              </w:rPr>
            </w:pPr>
          </w:p>
        </w:tc>
        <w:tc>
          <w:tcPr>
            <w:tcW w:w="567" w:type="pct"/>
            <w:shd w:val="pct10" w:color="auto" w:fill="auto"/>
            <w:vAlign w:val="center"/>
          </w:tcPr>
          <w:p>
            <w:pPr>
              <w:jc w:val="center"/>
              <w:rPr>
                <w:b/>
                <w:sz w:val="22"/>
              </w:rPr>
            </w:pPr>
            <w:r>
              <w:rPr>
                <w:rFonts w:hint="eastAsia"/>
                <w:b/>
                <w:sz w:val="22"/>
              </w:rPr>
              <w:t>数量</w:t>
            </w:r>
          </w:p>
        </w:tc>
        <w:tc>
          <w:tcPr>
            <w:tcW w:w="484" w:type="pct"/>
            <w:shd w:val="pct10" w:color="auto" w:fill="auto"/>
            <w:vAlign w:val="center"/>
          </w:tcPr>
          <w:p>
            <w:pPr>
              <w:jc w:val="center"/>
              <w:rPr>
                <w:b/>
                <w:sz w:val="22"/>
              </w:rPr>
            </w:pPr>
            <w:r>
              <w:rPr>
                <w:rFonts w:hint="eastAsia"/>
                <w:b/>
                <w:sz w:val="22"/>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24" w:type="pct"/>
            <w:vMerge w:val="restart"/>
            <w:vAlign w:val="center"/>
          </w:tcPr>
          <w:p>
            <w:pPr>
              <w:jc w:val="center"/>
              <w:rPr>
                <w:sz w:val="22"/>
              </w:rPr>
            </w:pPr>
            <w:r>
              <w:rPr>
                <w:rFonts w:hint="eastAsia"/>
                <w:sz w:val="22"/>
              </w:rPr>
              <w:t>无限售条件股份</w:t>
            </w:r>
          </w:p>
        </w:tc>
        <w:tc>
          <w:tcPr>
            <w:tcW w:w="1822" w:type="pct"/>
          </w:tcPr>
          <w:p>
            <w:pPr>
              <w:jc w:val="left"/>
              <w:rPr>
                <w:sz w:val="22"/>
              </w:rPr>
            </w:pPr>
            <w:r>
              <w:rPr>
                <w:rFonts w:hint="eastAsia"/>
                <w:sz w:val="22"/>
              </w:rPr>
              <w:t>无限售股份总数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restart"/>
            <w:vAlign w:val="center"/>
          </w:tcPr>
          <w:p>
            <w:pPr>
              <w:jc w:val="center"/>
              <w:rPr>
                <w:sz w:val="22"/>
              </w:rPr>
            </w:pPr>
            <w:r>
              <w:rPr>
                <w:rFonts w:hint="eastAsia"/>
                <w:sz w:val="22"/>
              </w:rPr>
              <w:t>有限售条件股份</w:t>
            </w:r>
          </w:p>
        </w:tc>
        <w:tc>
          <w:tcPr>
            <w:tcW w:w="1822" w:type="pct"/>
          </w:tcPr>
          <w:p>
            <w:pPr>
              <w:jc w:val="left"/>
              <w:rPr>
                <w:sz w:val="22"/>
              </w:rPr>
            </w:pPr>
            <w:r>
              <w:rPr>
                <w:rFonts w:hint="eastAsia"/>
                <w:sz w:val="22"/>
              </w:rPr>
              <w:t>有限售股份总数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总股本</w:t>
            </w:r>
          </w:p>
        </w:tc>
        <w:tc>
          <w:tcPr>
            <w:tcW w:w="503" w:type="pct"/>
            <w:vAlign w:val="center"/>
          </w:tcPr>
          <w:p>
            <w:pPr>
              <w:jc w:val="right"/>
              <w:rPr>
                <w:b/>
                <w:sz w:val="22"/>
              </w:rPr>
            </w:pPr>
          </w:p>
        </w:tc>
        <w:tc>
          <w:tcPr>
            <w:tcW w:w="509" w:type="pct"/>
            <w:vAlign w:val="center"/>
          </w:tcPr>
          <w:p>
            <w:pPr>
              <w:jc w:val="center"/>
              <w:rPr>
                <w:b/>
                <w:sz w:val="22"/>
              </w:rPr>
            </w:pPr>
            <w:r>
              <w:rPr>
                <w:rFonts w:hint="eastAsia"/>
                <w:b/>
                <w:sz w:val="22"/>
              </w:rPr>
              <w:t>—</w:t>
            </w:r>
          </w:p>
        </w:tc>
        <w:tc>
          <w:tcPr>
            <w:tcW w:w="690" w:type="pct"/>
            <w:vAlign w:val="center"/>
          </w:tcPr>
          <w:p>
            <w:pPr>
              <w:jc w:val="right"/>
              <w:rPr>
                <w:b/>
                <w:sz w:val="22"/>
              </w:rPr>
            </w:pPr>
          </w:p>
        </w:tc>
        <w:tc>
          <w:tcPr>
            <w:tcW w:w="567" w:type="pct"/>
            <w:vAlign w:val="center"/>
          </w:tcPr>
          <w:p>
            <w:pPr>
              <w:jc w:val="right"/>
              <w:rPr>
                <w:b/>
                <w:sz w:val="22"/>
              </w:rPr>
            </w:pPr>
          </w:p>
        </w:tc>
        <w:tc>
          <w:tcPr>
            <w:tcW w:w="484" w:type="pct"/>
            <w:vAlign w:val="center"/>
          </w:tcPr>
          <w:p>
            <w:pPr>
              <w:jc w:val="center"/>
              <w:rPr>
                <w:b/>
                <w:sz w:val="22"/>
              </w:rPr>
            </w:pPr>
            <w:r>
              <w:rPr>
                <w:rFonts w:hint="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普通股股东人数</w:t>
            </w:r>
          </w:p>
        </w:tc>
        <w:tc>
          <w:tcPr>
            <w:tcW w:w="2753" w:type="pct"/>
            <w:gridSpan w:val="5"/>
            <w:vAlign w:val="center"/>
          </w:tcPr>
          <w:p>
            <w:pPr>
              <w:jc w:val="center"/>
              <w:rPr>
                <w:b/>
                <w:sz w:val="22"/>
              </w:rPr>
            </w:pPr>
            <w:r>
              <w:rPr>
                <w:rFonts w:hint="eastAsia" w:ascii="Calibri" w:hAnsi="Calibri" w:eastAsia="宋体" w:cs="Times New Roman"/>
                <w:color w:val="FF0000"/>
                <w:sz w:val="22"/>
              </w:rPr>
              <w:t>此项必填</w:t>
            </w:r>
          </w:p>
        </w:tc>
      </w:tr>
    </w:tbl>
    <w:p>
      <w:pPr>
        <w:rPr>
          <w:rFonts w:ascii="Calibri" w:hAnsi="Calibri" w:eastAsia="宋体" w:cs="Times New Roman"/>
          <w:i/>
          <w:color w:val="FF0000"/>
        </w:rPr>
      </w:pPr>
      <w:r>
        <w:rPr>
          <w:rFonts w:hint="eastAsia" w:ascii="Calibri" w:hAnsi="Calibri" w:eastAsia="宋体" w:cs="Times New Roman"/>
          <w:i/>
          <w:color w:val="FF0000"/>
        </w:rPr>
        <w:t>注</w:t>
      </w:r>
      <w:r>
        <w:rPr>
          <w:rFonts w:ascii="Calibri" w:hAnsi="Calibri" w:eastAsia="宋体" w:cs="Times New Roman"/>
          <w:i/>
          <w:color w:val="FF0000"/>
        </w:rPr>
        <w:t>：</w:t>
      </w:r>
      <w:r>
        <w:rPr>
          <w:rFonts w:hint="eastAsia" w:ascii="Calibri" w:hAnsi="Calibri" w:eastAsia="宋体" w:cs="Times New Roman"/>
          <w:i/>
          <w:color w:val="FF0000"/>
        </w:rPr>
        <w:t>请按照上年年末股本结构填列本期期初股本结构情况。</w:t>
      </w:r>
    </w:p>
    <w:p>
      <w:pPr>
        <w:ind w:left="6720" w:firstLine="420"/>
        <w:jc w:val="right"/>
      </w:pPr>
      <w:r>
        <w:rPr>
          <w:rFonts w:hint="eastAsia"/>
        </w:rPr>
        <w:t xml:space="preserve">                      </w:t>
      </w:r>
      <w:r>
        <w:t xml:space="preserve">                                               </w:t>
      </w:r>
      <w:r>
        <w:rPr>
          <w:rFonts w:hint="eastAsia"/>
        </w:rPr>
        <w:t>单位：股</w:t>
      </w:r>
    </w:p>
    <w:tbl>
      <w:tblPr>
        <w:tblStyle w:val="46"/>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21"/>
        <w:gridCol w:w="1350"/>
        <w:gridCol w:w="1600"/>
        <w:gridCol w:w="1021"/>
        <w:gridCol w:w="1019"/>
        <w:gridCol w:w="1021"/>
        <w:gridCol w:w="1019"/>
        <w:gridCol w:w="1165"/>
        <w:gridCol w:w="127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jc w:val="center"/>
        </w:trPr>
        <w:tc>
          <w:tcPr>
            <w:tcW w:w="5000" w:type="pct"/>
            <w:gridSpan w:val="9"/>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持股5%以上的股东或前十名股东情况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67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801" w:type="pct"/>
            <w:shd w:val="clear" w:color="auto" w:fill="D4D4D4" w:themeFill="accent3" w:themeFillTint="66"/>
            <w:vAlign w:val="center"/>
          </w:tcPr>
          <w:p>
            <w:pPr>
              <w:jc w:val="center"/>
              <w:rPr>
                <w:b/>
                <w:sz w:val="22"/>
              </w:rPr>
            </w:pPr>
            <w:r>
              <w:rPr>
                <w:rFonts w:hint="eastAsia"/>
                <w:b/>
                <w:sz w:val="22"/>
              </w:rPr>
              <w:t>股东性质</w:t>
            </w:r>
          </w:p>
        </w:tc>
        <w:tc>
          <w:tcPr>
            <w:tcW w:w="51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510"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1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510" w:type="pct"/>
            <w:shd w:val="clear" w:color="auto" w:fill="D4D4D4"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83"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636" w:type="pct"/>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1" w:type="pct"/>
            <w:vAlign w:val="center"/>
          </w:tcPr>
          <w:p>
            <w:pPr>
              <w:jc w:val="center"/>
              <w:rPr>
                <w:rFonts w:asciiTheme="minorEastAsia" w:hAnsiTheme="minorEastAsia"/>
                <w:b/>
                <w:sz w:val="22"/>
              </w:rPr>
            </w:pPr>
            <w:r>
              <w:rPr>
                <w:rFonts w:asciiTheme="minorEastAsia" w:hAnsiTheme="minorEastAsia"/>
                <w:sz w:val="22"/>
              </w:rPr>
              <w:t>1</w:t>
            </w:r>
          </w:p>
        </w:tc>
        <w:tc>
          <w:tcPr>
            <w:tcW w:w="676" w:type="pct"/>
            <w:vAlign w:val="center"/>
          </w:tcPr>
          <w:p>
            <w:pPr>
              <w:jc w:val="center"/>
              <w:rPr>
                <w:rFonts w:asciiTheme="minorEastAsia" w:hAnsiTheme="minorEastAsia"/>
                <w:b/>
                <w:sz w:val="22"/>
              </w:rPr>
            </w:pPr>
          </w:p>
        </w:tc>
        <w:tc>
          <w:tcPr>
            <w:tcW w:w="801" w:type="pct"/>
            <w:vAlign w:val="center"/>
          </w:tcPr>
          <w:p>
            <w:pPr>
              <w:jc w:val="center"/>
              <w:rPr>
                <w:rFonts w:asciiTheme="minorEastAsia" w:hAnsiTheme="minorEastAsia"/>
                <w:sz w:val="22"/>
              </w:rPr>
            </w:pPr>
            <w:r>
              <w:rPr>
                <w:rFonts w:hint="eastAsia" w:asciiTheme="minorEastAsia" w:hAnsiTheme="minorEastAsia"/>
                <w:color w:val="FF0000"/>
                <w:sz w:val="22"/>
              </w:rPr>
              <w:t>下拉选项（单选）：国有法人、境内非国有法人、境内自然人、境外法人、境外自然人、其他</w:t>
            </w: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636" w:type="pct"/>
            <w:vAlign w:val="center"/>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1" w:type="pct"/>
          </w:tcPr>
          <w:p>
            <w:pPr>
              <w:jc w:val="center"/>
              <w:rPr>
                <w:rFonts w:asciiTheme="minorEastAsia" w:hAnsiTheme="minorEastAsia"/>
                <w:b/>
                <w:sz w:val="22"/>
              </w:rPr>
            </w:pPr>
            <w:r>
              <w:rPr>
                <w:rFonts w:asciiTheme="minorEastAsia" w:hAnsiTheme="minorEastAsia"/>
                <w:sz w:val="22"/>
              </w:rPr>
              <w:t>2</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1" w:type="pct"/>
          </w:tcPr>
          <w:p>
            <w:pPr>
              <w:jc w:val="center"/>
              <w:rPr>
                <w:rFonts w:asciiTheme="minorEastAsia" w:hAnsiTheme="minorEastAsia"/>
                <w:b/>
                <w:sz w:val="22"/>
              </w:rPr>
            </w:pPr>
            <w:r>
              <w:rPr>
                <w:rFonts w:asciiTheme="minorEastAsia" w:hAnsiTheme="minorEastAsia"/>
                <w:sz w:val="22"/>
              </w:rPr>
              <w:t>3</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1" w:type="pct"/>
          </w:tcPr>
          <w:p>
            <w:pPr>
              <w:jc w:val="center"/>
              <w:rPr>
                <w:rFonts w:asciiTheme="minorEastAsia" w:hAnsiTheme="minorEastAsia"/>
                <w:b/>
                <w:sz w:val="22"/>
              </w:rPr>
            </w:pPr>
            <w:r>
              <w:rPr>
                <w:rFonts w:asciiTheme="minorEastAsia" w:hAnsiTheme="minorEastAsia"/>
                <w:sz w:val="22"/>
              </w:rPr>
              <w:t>4</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1" w:type="pct"/>
          </w:tcPr>
          <w:p>
            <w:pPr>
              <w:jc w:val="center"/>
              <w:rPr>
                <w:rFonts w:asciiTheme="minorEastAsia" w:hAnsiTheme="minorEastAsia"/>
                <w:b/>
                <w:sz w:val="22"/>
              </w:rPr>
            </w:pPr>
            <w:r>
              <w:rPr>
                <w:rFonts w:asciiTheme="minorEastAsia" w:hAnsiTheme="minorEastAsia"/>
                <w:sz w:val="22"/>
              </w:rPr>
              <w:t>5</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1" w:type="pct"/>
          </w:tcPr>
          <w:p>
            <w:pPr>
              <w:jc w:val="center"/>
              <w:rPr>
                <w:rFonts w:asciiTheme="minorEastAsia" w:hAnsiTheme="minorEastAsia"/>
                <w:b/>
                <w:sz w:val="22"/>
              </w:rPr>
            </w:pPr>
            <w:r>
              <w:rPr>
                <w:rFonts w:asciiTheme="minorEastAsia" w:hAnsiTheme="minorEastAsia"/>
                <w:sz w:val="22"/>
              </w:rPr>
              <w:t>6</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1" w:type="pct"/>
          </w:tcPr>
          <w:p>
            <w:pPr>
              <w:jc w:val="center"/>
              <w:rPr>
                <w:rFonts w:asciiTheme="minorEastAsia" w:hAnsiTheme="minorEastAsia"/>
                <w:b/>
                <w:sz w:val="22"/>
              </w:rPr>
            </w:pPr>
            <w:r>
              <w:rPr>
                <w:rFonts w:asciiTheme="minorEastAsia" w:hAnsiTheme="minorEastAsia"/>
                <w:sz w:val="22"/>
              </w:rPr>
              <w:t>7</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1" w:type="pct"/>
          </w:tcPr>
          <w:p>
            <w:pPr>
              <w:jc w:val="center"/>
              <w:rPr>
                <w:rFonts w:asciiTheme="minorEastAsia" w:hAnsiTheme="minorEastAsia"/>
                <w:b/>
                <w:sz w:val="22"/>
              </w:rPr>
            </w:pPr>
            <w:r>
              <w:rPr>
                <w:rFonts w:asciiTheme="minorEastAsia" w:hAnsiTheme="minorEastAsia"/>
                <w:sz w:val="22"/>
              </w:rPr>
              <w:t>8</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1" w:type="pct"/>
          </w:tcPr>
          <w:p>
            <w:pPr>
              <w:jc w:val="center"/>
              <w:rPr>
                <w:rFonts w:asciiTheme="minorEastAsia" w:hAnsiTheme="minorEastAsia"/>
                <w:b/>
                <w:sz w:val="22"/>
              </w:rPr>
            </w:pPr>
            <w:r>
              <w:rPr>
                <w:rFonts w:asciiTheme="minorEastAsia" w:hAnsiTheme="minorEastAsia"/>
                <w:sz w:val="22"/>
              </w:rPr>
              <w:t>9</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1" w:type="pct"/>
          </w:tcPr>
          <w:p>
            <w:pPr>
              <w:jc w:val="center"/>
              <w:rPr>
                <w:rFonts w:asciiTheme="minorEastAsia" w:hAnsiTheme="minorEastAsia"/>
                <w:b/>
                <w:sz w:val="22"/>
              </w:rPr>
            </w:pPr>
            <w:r>
              <w:rPr>
                <w:rFonts w:asciiTheme="minorEastAsia" w:hAnsiTheme="minorEastAsia"/>
                <w:sz w:val="22"/>
              </w:rPr>
              <w:t>10</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1" w:type="pct"/>
          </w:tcPr>
          <w:p>
            <w:pPr>
              <w:jc w:val="center"/>
              <w:rPr>
                <w:rFonts w:asciiTheme="minorEastAsia" w:hAnsiTheme="minorEastAsia"/>
                <w:sz w:val="22"/>
              </w:rPr>
            </w:pPr>
            <w:r>
              <w:rPr>
                <w:rFonts w:hint="eastAsia" w:asciiTheme="minorEastAsia" w:hAnsiTheme="minorEastAsia"/>
                <w:sz w:val="22"/>
              </w:rPr>
              <w:t>（自动添行）</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738"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9"/>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sz w:val="22"/>
              </w:rPr>
            </w:pPr>
            <w:r>
              <w:rPr>
                <w:rFonts w:hint="eastAsia" w:asciiTheme="minorEastAsia" w:hAnsiTheme="minorEastAsia"/>
                <w:sz w:val="22"/>
              </w:rPr>
              <w:t>股东名称</w:t>
            </w:r>
            <w:r>
              <w:rPr>
                <w:rFonts w:asciiTheme="minorEastAsia" w:hAnsiTheme="minorEastAsia"/>
                <w:sz w:val="22"/>
              </w:rPr>
              <w:t>A，股东名称B：两者间的关系；</w:t>
            </w:r>
          </w:p>
          <w:p>
            <w:pPr>
              <w:rPr>
                <w:rFonts w:asciiTheme="minorEastAsia" w:hAnsiTheme="minorEastAsia"/>
                <w:b/>
                <w:sz w:val="22"/>
              </w:rPr>
            </w:pPr>
            <w:r>
              <w:rPr>
                <w:rFonts w:hint="eastAsia" w:asciiTheme="minorEastAsia" w:hAnsiTheme="minorEastAsia"/>
                <w:sz w:val="22"/>
              </w:rPr>
              <w:t>股东名称</w:t>
            </w:r>
            <w:r>
              <w:rPr>
                <w:rFonts w:asciiTheme="minorEastAsia" w:hAnsiTheme="minorEastAsia"/>
                <w:sz w:val="22"/>
              </w:rPr>
              <w:t>C，股东名称D：两者间的关系。</w:t>
            </w:r>
          </w:p>
        </w:tc>
      </w:tr>
    </w:tbl>
    <w:p>
      <w:pPr>
        <w:rPr>
          <w:i/>
          <w:color w:val="FF0000"/>
        </w:rPr>
      </w:pPr>
      <w:r>
        <w:rPr>
          <w:rFonts w:hint="eastAsia"/>
          <w:i/>
          <w:color w:val="FF0000"/>
        </w:rPr>
        <w:t>注：如持股</w:t>
      </w:r>
      <w:r>
        <w:rPr>
          <w:i/>
          <w:color w:val="FF0000"/>
        </w:rPr>
        <w:t xml:space="preserve"> 5% </w:t>
      </w:r>
      <w:r>
        <w:rPr>
          <w:rFonts w:hint="eastAsia"/>
          <w:i/>
          <w:color w:val="FF0000"/>
        </w:rPr>
        <w:t>以上的股东少于十人，则应当列出至少前十名股东的持股情况。</w:t>
      </w:r>
    </w:p>
    <w:p>
      <w:pPr>
        <w:rPr>
          <w:i/>
          <w:color w:val="FF0000"/>
        </w:rPr>
      </w:pPr>
      <w:r>
        <w:rPr>
          <w:rFonts w:hint="eastAsia"/>
          <w:i/>
          <w:color w:val="FF0000"/>
        </w:rPr>
        <w:t>每一组股东间相互关系说明应该每段独立分开（分段）。</w:t>
      </w:r>
    </w:p>
    <w:p>
      <w:pPr>
        <w:rPr>
          <w:b/>
        </w:rPr>
      </w:pPr>
    </w:p>
    <w:p>
      <w:pPr>
        <w:rPr>
          <w:b/>
        </w:rPr>
      </w:pPr>
      <w:r>
        <w:rPr>
          <w:rFonts w:hint="eastAsia" w:asciiTheme="minorEastAsia" w:hAnsiTheme="minorEastAsia"/>
          <w:b/>
          <w:color w:val="000000" w:themeColor="text1"/>
          <w:szCs w:val="44"/>
          <w14:textFill>
            <w14:solidFill>
              <w14:schemeClr w14:val="tx1"/>
            </w14:solidFill>
          </w14:textFill>
        </w:rPr>
        <w:t>持股5%以上的股东或</w:t>
      </w:r>
      <w:r>
        <w:rPr>
          <w:rFonts w:asciiTheme="minorEastAsia" w:hAnsiTheme="minorEastAsia"/>
          <w:b/>
          <w:color w:val="000000" w:themeColor="text1"/>
          <w:szCs w:val="44"/>
          <w14:textFill>
            <w14:solidFill>
              <w14:schemeClr w14:val="tx1"/>
            </w14:solidFill>
          </w14:textFill>
        </w:rPr>
        <w:t>前十名股东</w:t>
      </w:r>
      <w:r>
        <w:rPr>
          <w:rFonts w:hint="eastAsia"/>
          <w:b/>
        </w:rPr>
        <w:t>是否存在质押、司法冻结股份</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pPr>
        <w:rPr>
          <w:i/>
          <w:color w:val="FF0000"/>
        </w:rPr>
      </w:pPr>
    </w:p>
    <w:tbl>
      <w:tblPr>
        <w:tblStyle w:val="46"/>
        <w:tblW w:w="5925"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467"/>
        <w:gridCol w:w="2133"/>
        <w:gridCol w:w="3230"/>
        <w:gridCol w:w="322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78" w:hRule="atLeast"/>
          <w:jc w:val="center"/>
        </w:trPr>
        <w:tc>
          <w:tcPr>
            <w:tcW w:w="730"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106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1607"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1602" w:type="pct"/>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1" w:hRule="atLeast"/>
          <w:jc w:val="center"/>
        </w:trPr>
        <w:tc>
          <w:tcPr>
            <w:tcW w:w="730" w:type="pct"/>
          </w:tcPr>
          <w:p>
            <w:pPr>
              <w:jc w:val="center"/>
              <w:rPr>
                <w:rFonts w:asciiTheme="minorEastAsia" w:hAnsiTheme="minorEastAsia"/>
                <w:b/>
                <w:sz w:val="22"/>
              </w:rPr>
            </w:pPr>
            <w:r>
              <w:rPr>
                <w:rFonts w:asciiTheme="minorEastAsia" w:hAnsiTheme="minorEastAsia"/>
                <w:sz w:val="22"/>
              </w:rPr>
              <w:t>1</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jc w:val="center"/>
        </w:trPr>
        <w:tc>
          <w:tcPr>
            <w:tcW w:w="730" w:type="pct"/>
          </w:tcPr>
          <w:p>
            <w:pPr>
              <w:jc w:val="center"/>
              <w:rPr>
                <w:rFonts w:asciiTheme="minorEastAsia" w:hAnsiTheme="minorEastAsia"/>
                <w:b/>
                <w:sz w:val="22"/>
              </w:rPr>
            </w:pPr>
            <w:r>
              <w:rPr>
                <w:rFonts w:asciiTheme="minorEastAsia" w:hAnsiTheme="minorEastAsia"/>
                <w:sz w:val="22"/>
              </w:rPr>
              <w:t>2</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730" w:type="pct"/>
          </w:tcPr>
          <w:p>
            <w:pPr>
              <w:jc w:val="center"/>
              <w:rPr>
                <w:rFonts w:asciiTheme="minorEastAsia" w:hAnsiTheme="minorEastAsia"/>
                <w:sz w:val="22"/>
              </w:rPr>
            </w:pPr>
            <w:r>
              <w:rPr>
                <w:rFonts w:hint="eastAsia" w:asciiTheme="minorEastAsia" w:hAnsiTheme="minorEastAsia"/>
                <w:sz w:val="22"/>
              </w:rPr>
              <w:t>（自动添行）</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1791" w:type="pct"/>
            <w:gridSpan w:val="2"/>
          </w:tcPr>
          <w:p>
            <w:pPr>
              <w:jc w:val="center"/>
              <w:rPr>
                <w:rFonts w:asciiTheme="minorEastAsia" w:hAnsiTheme="minorEastAsia"/>
                <w:b/>
                <w:sz w:val="22"/>
              </w:rPr>
            </w:pPr>
            <w:r>
              <w:rPr>
                <w:rFonts w:hint="eastAsia" w:asciiTheme="minorEastAsia" w:hAnsiTheme="minorEastAsia"/>
                <w:b/>
                <w:sz w:val="22"/>
              </w:rPr>
              <w:t>合计</w:t>
            </w: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bl>
    <w:p>
      <w:pPr>
        <w:rPr>
          <w:i/>
          <w:color w:val="FF0000"/>
        </w:rPr>
      </w:pPr>
    </w:p>
    <w:p>
      <w:pPr>
        <w:rPr>
          <w:i/>
          <w:color w:val="FF0000"/>
        </w:rPr>
      </w:pPr>
    </w:p>
    <w:p>
      <w:pPr>
        <w:ind w:right="840"/>
      </w:pPr>
      <w:bookmarkStart w:id="9" w:name="_GoBack"/>
      <w:bookmarkEnd w:id="9"/>
    </w:p>
    <w:p>
      <w:pPr>
        <w:ind w:left="-708" w:leftChars="-337" w:firstLine="441" w:firstLineChars="200"/>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三、存续至本期的优先股股票相关情况</w:t>
      </w:r>
    </w:p>
    <w:p>
      <w:pPr>
        <w:rPr>
          <w:rFonts w:ascii="微软雅黑" w:hAnsi="微软雅黑" w:eastAsia="微软雅黑"/>
          <w:b/>
          <w:color w:val="000000" w:themeColor="text1"/>
          <w:sz w:val="22"/>
          <w:szCs w:val="44"/>
          <w14:textFill>
            <w14:solidFill>
              <w14:schemeClr w14:val="tx1"/>
            </w14:solidFill>
          </w14:textFill>
        </w:rPr>
      </w:pPr>
      <w:r>
        <w:rPr>
          <w:rFonts w:hint="eastAsia"/>
        </w:rPr>
        <w:t xml:space="preserve">□  适用  </w:t>
      </w:r>
      <w:r>
        <w:t xml:space="preserve">   </w:t>
      </w:r>
      <w:r>
        <w:rPr>
          <w:rFonts w:hint="eastAsia"/>
        </w:rPr>
        <w:t>□  不适用</w:t>
      </w:r>
    </w:p>
    <w:p>
      <w:pPr>
        <w:jc w:val="right"/>
        <w:rPr>
          <w:rFonts w:asciiTheme="minorEastAsia" w:hAnsiTheme="minorEastAsia"/>
          <w:szCs w:val="21"/>
        </w:rPr>
      </w:pPr>
      <w:r>
        <w:rPr>
          <w:rFonts w:hint="eastAsia" w:ascii="微软雅黑" w:hAnsi="微软雅黑" w:eastAsia="微软雅黑"/>
          <w:b/>
          <w:color w:val="000000" w:themeColor="text1"/>
          <w:sz w:val="22"/>
          <w:szCs w:val="44"/>
          <w14:textFill>
            <w14:solidFill>
              <w14:schemeClr w14:val="tx1"/>
            </w14:solidFill>
          </w14:textFill>
        </w:rPr>
        <w:t xml:space="preserve"> </w:t>
      </w:r>
      <w:r>
        <w:rPr>
          <w:rFonts w:ascii="微软雅黑" w:hAnsi="微软雅黑" w:eastAsia="微软雅黑"/>
          <w:b/>
          <w:color w:val="000000" w:themeColor="text1"/>
          <w:sz w:val="22"/>
          <w:szCs w:val="44"/>
          <w14:textFill>
            <w14:solidFill>
              <w14:schemeClr w14:val="tx1"/>
            </w14:solidFill>
          </w14:textFill>
        </w:rPr>
        <w:t xml:space="preserve">                                           </w:t>
      </w:r>
      <w:r>
        <w:rPr>
          <w:rFonts w:hint="eastAsia" w:asciiTheme="minorEastAsia" w:hAnsiTheme="minorEastAsia"/>
          <w:szCs w:val="21"/>
        </w:rPr>
        <w:t>单位</w:t>
      </w:r>
      <w:r>
        <w:rPr>
          <w:rFonts w:asciiTheme="minorEastAsia" w:hAnsiTheme="minorEastAsia"/>
          <w:szCs w:val="21"/>
        </w:rPr>
        <w:t>：股</w:t>
      </w:r>
    </w:p>
    <w:tbl>
      <w:tblPr>
        <w:tblStyle w:val="47"/>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0"/>
        <w:gridCol w:w="2409"/>
        <w:gridCol w:w="2410"/>
        <w:gridCol w:w="24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项目</w:t>
            </w:r>
          </w:p>
        </w:tc>
        <w:tc>
          <w:tcPr>
            <w:tcW w:w="2409"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期初股份数量</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数量变动</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期末</w:t>
            </w:r>
            <w:r>
              <w:rPr>
                <w:rFonts w:asciiTheme="minorEastAsia" w:hAnsiTheme="minorEastAsia"/>
                <w:b/>
                <w:sz w:val="22"/>
              </w:rPr>
              <w:t>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计入权益的</w:t>
            </w:r>
            <w:r>
              <w:rPr>
                <w:color w:val="000000" w:themeColor="text1"/>
                <w:sz w:val="22"/>
                <w14:textFill>
                  <w14:solidFill>
                    <w14:schemeClr w14:val="tx1"/>
                  </w14:solidFill>
                </w14:textFill>
              </w:rPr>
              <w:t>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w:t>
            </w:r>
            <w:r>
              <w:rPr>
                <w:color w:val="000000" w:themeColor="text1"/>
                <w:sz w:val="22"/>
                <w14:textFill>
                  <w14:solidFill>
                    <w14:schemeClr w14:val="tx1"/>
                  </w14:solidFill>
                </w14:textFill>
              </w:rPr>
              <w:t>负债的优先股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优先股总股本</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bl>
    <w:p>
      <w:pPr>
        <w:rPr>
          <w:rFonts w:ascii="宋体" w:hAnsi="宋体"/>
          <w:b/>
          <w:color w:val="000000" w:themeColor="text1"/>
          <w:szCs w:val="21"/>
          <w14:textFill>
            <w14:solidFill>
              <w14:schemeClr w14:val="tx1"/>
            </w14:solidFill>
          </w14:textFill>
        </w:rPr>
      </w:pPr>
    </w:p>
    <w:p>
      <w:pPr>
        <w:jc w:val="right"/>
        <w:rPr>
          <w:rFonts w:asciiTheme="minorEastAsia" w:hAnsiTheme="minorEastAsia"/>
          <w:szCs w:val="21"/>
        </w:rPr>
      </w:pPr>
      <w:r>
        <w:rPr>
          <w:rFonts w:hint="eastAsia" w:asciiTheme="minorEastAsia" w:hAnsiTheme="minorEastAsia"/>
          <w:szCs w:val="21"/>
        </w:rPr>
        <w:t>单位</w:t>
      </w:r>
      <w:r>
        <w:rPr>
          <w:rFonts w:asciiTheme="minorEastAsia" w:hAnsiTheme="minorEastAsia"/>
          <w:szCs w:val="21"/>
        </w:rPr>
        <w:t>：股</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0"/>
        <w:gridCol w:w="567"/>
        <w:gridCol w:w="1701"/>
        <w:gridCol w:w="2317"/>
        <w:gridCol w:w="2361"/>
        <w:gridCol w:w="1134"/>
        <w:gridCol w:w="89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27" w:type="dxa"/>
            <w:gridSpan w:val="2"/>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证券代码</w:t>
            </w:r>
          </w:p>
        </w:tc>
        <w:tc>
          <w:tcPr>
            <w:tcW w:w="170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2317"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w:t>
            </w:r>
            <w:r>
              <w:rPr>
                <w:rFonts w:ascii="Calibri" w:hAnsi="Calibri" w:eastAsia="宋体" w:cs="Times New Roman"/>
                <w:b/>
                <w:color w:val="000000"/>
                <w:sz w:val="22"/>
              </w:rPr>
              <w:t>简称</w:t>
            </w:r>
          </w:p>
        </w:tc>
        <w:tc>
          <w:tcPr>
            <w:tcW w:w="236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1134" w:type="dxa"/>
            <w:tcBorders>
              <w:bottom w:val="single" w:color="5B9BD5" w:sz="4" w:space="0"/>
              <w:right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股东人数</w:t>
            </w:r>
          </w:p>
        </w:tc>
        <w:tc>
          <w:tcPr>
            <w:tcW w:w="899" w:type="dxa"/>
            <w:tcBorders>
              <w:left w:val="single" w:color="5B9BD5" w:sz="4" w:space="0"/>
              <w:bottom w:val="single" w:color="5B9BD5" w:sz="4" w:space="0"/>
            </w:tcBorders>
            <w:shd w:val="pct10" w:color="auto" w:fill="auto"/>
            <w:vAlign w:val="center"/>
          </w:tcPr>
          <w:p>
            <w:pPr>
              <w:jc w:val="center"/>
              <w:rPr>
                <w:rFonts w:ascii="Calibri" w:hAnsi="Calibri" w:eastAsia="宋体" w:cs="Times New Roman"/>
                <w:b/>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3" w:hRule="atLeast"/>
        </w:trPr>
        <w:tc>
          <w:tcPr>
            <w:tcW w:w="660"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序号</w:t>
            </w:r>
          </w:p>
        </w:tc>
        <w:tc>
          <w:tcPr>
            <w:tcW w:w="2268"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股东</w:t>
            </w:r>
            <w:r>
              <w:rPr>
                <w:rFonts w:ascii="宋体" w:hAnsi="宋体" w:eastAsia="宋体" w:cs="Times New Roman"/>
                <w:b/>
                <w:color w:val="000000"/>
                <w:sz w:val="22"/>
              </w:rPr>
              <w:t>名称</w:t>
            </w:r>
          </w:p>
        </w:tc>
        <w:tc>
          <w:tcPr>
            <w:tcW w:w="2317"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期初持股数量</w:t>
            </w:r>
          </w:p>
        </w:tc>
        <w:tc>
          <w:tcPr>
            <w:tcW w:w="2361"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w:t>
            </w:r>
            <w:r>
              <w:rPr>
                <w:rFonts w:ascii="宋体" w:hAnsi="宋体" w:eastAsia="宋体" w:cs="Times New Roman"/>
                <w:b/>
                <w:color w:val="000000"/>
                <w:sz w:val="22"/>
              </w:rPr>
              <w:t>数量</w:t>
            </w:r>
          </w:p>
        </w:tc>
        <w:tc>
          <w:tcPr>
            <w:tcW w:w="2033"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2</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3</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4</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5</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6</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7</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8</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9</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10</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bl>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优先股表决权</w:t>
      </w:r>
      <w:r>
        <w:rPr>
          <w:rFonts w:ascii="宋体" w:hAnsi="宋体"/>
          <w:b/>
          <w:color w:val="000000" w:themeColor="text1"/>
          <w:szCs w:val="21"/>
          <w14:textFill>
            <w14:solidFill>
              <w14:schemeClr w14:val="tx1"/>
            </w14:solidFill>
          </w14:textFill>
        </w:rPr>
        <w:t>恢复情况</w:t>
      </w:r>
      <w:r>
        <w:rPr>
          <w:rFonts w:hint="eastAsia" w:ascii="宋体" w:hAnsi="宋体"/>
          <w:b/>
          <w:color w:val="000000" w:themeColor="text1"/>
          <w:szCs w:val="21"/>
          <w14:textFill>
            <w14:solidFill>
              <w14:schemeClr w14:val="tx1"/>
            </w14:solidFill>
          </w14:textFill>
        </w:rPr>
        <w:t>：</w:t>
      </w:r>
    </w:p>
    <w:p>
      <w:pPr>
        <w:rPr>
          <w:rFonts w:ascii="宋体" w:hAnsi="宋体"/>
          <w:b/>
          <w:bCs/>
          <w:szCs w:val="21"/>
        </w:rPr>
      </w:pPr>
      <w:r>
        <w:rPr>
          <w:rFonts w:hint="eastAsia" w:ascii="Calibri" w:hAnsi="Calibri" w:eastAsia="宋体" w:cs="Times New Roman"/>
        </w:rPr>
        <w:t>□  适用  □  不适用</w:t>
      </w:r>
    </w:p>
    <w:tbl>
      <w:tblPr>
        <w:tblStyle w:val="46"/>
        <w:tblW w:w="5831"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89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2" w:hRule="atLeast"/>
        </w:trPr>
        <w:tc>
          <w:tcPr>
            <w:tcW w:w="5000" w:type="pct"/>
            <w:shd w:val="clear" w:color="auto" w:fill="auto"/>
          </w:tcPr>
          <w:p>
            <w:pPr>
              <w:ind w:right="420"/>
              <w:rPr>
                <w:rFonts w:asciiTheme="minorEastAsia" w:hAnsiTheme="minorEastAsia"/>
                <w:i/>
                <w:color w:val="FF0000"/>
                <w:szCs w:val="44"/>
              </w:rPr>
            </w:pPr>
            <w:r>
              <w:rPr>
                <w:rFonts w:hint="eastAsia" w:asciiTheme="minorEastAsia" w:hAnsiTheme="minorEastAsia"/>
                <w:i/>
                <w:color w:val="FF0000"/>
                <w:szCs w:val="44"/>
              </w:rPr>
              <w:t>注：如公司报告期内存在表决权恢复的优先股，应当披露优先股表决权恢复的原因</w:t>
            </w:r>
            <w:r>
              <w:rPr>
                <w:rFonts w:asciiTheme="minorEastAsia" w:hAnsiTheme="minorEastAsia"/>
                <w:i/>
                <w:color w:val="FF0000"/>
                <w:szCs w:val="44"/>
              </w:rPr>
              <w:t>、股东及持股比例</w:t>
            </w:r>
            <w:r>
              <w:rPr>
                <w:rFonts w:hint="eastAsia" w:asciiTheme="minorEastAsia" w:hAnsiTheme="minorEastAsia"/>
                <w:i/>
                <w:color w:val="FF0000"/>
                <w:szCs w:val="44"/>
              </w:rPr>
              <w:t>等。</w:t>
            </w:r>
          </w:p>
          <w:p>
            <w:pPr>
              <w:ind w:right="420"/>
              <w:rPr>
                <w:rFonts w:asciiTheme="minorEastAsia" w:hAnsiTheme="minorEastAsia"/>
                <w:sz w:val="22"/>
              </w:rPr>
            </w:pPr>
          </w:p>
        </w:tc>
      </w:tr>
    </w:tbl>
    <w:p/>
    <w:p>
      <w:pPr>
        <w:pStyle w:val="44"/>
        <w:ind w:firstLine="180" w:firstLineChars="50"/>
        <w:rPr>
          <w:rFonts w:ascii="黑体" w:hAnsi="黑体" w:eastAsia="黑体"/>
          <w:b w:val="0"/>
          <w:sz w:val="36"/>
          <w:szCs w:val="36"/>
        </w:rPr>
      </w:pPr>
      <w:bookmarkStart w:id="2" w:name="_Toc505095879"/>
      <w:r>
        <w:rPr>
          <w:rFonts w:hint="eastAsia" w:ascii="黑体" w:hAnsi="黑体" w:eastAsia="黑体"/>
          <w:b w:val="0"/>
          <w:sz w:val="36"/>
          <w:szCs w:val="36"/>
        </w:rPr>
        <w:t>第三节 重</w:t>
      </w:r>
      <w:bookmarkEnd w:id="2"/>
      <w:r>
        <w:rPr>
          <w:rFonts w:hint="eastAsia" w:ascii="黑体" w:hAnsi="黑体" w:eastAsia="黑体"/>
          <w:b w:val="0"/>
          <w:sz w:val="36"/>
          <w:szCs w:val="36"/>
        </w:rPr>
        <w:t>大事件</w:t>
      </w:r>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重大事项的合规情况</w:t>
      </w:r>
    </w:p>
    <w:p>
      <w:pPr>
        <w:ind w:firstLine="315" w:firstLineChars="150"/>
      </w:pPr>
      <w:r>
        <w:rPr>
          <w:rFonts w:hint="eastAsia"/>
        </w:rPr>
        <w:t xml:space="preserve">□  适用  </w:t>
      </w:r>
      <w:r>
        <w:t xml:space="preserve">   </w:t>
      </w:r>
      <w:r>
        <w:rPr>
          <w:rFonts w:hint="eastAsia"/>
        </w:rPr>
        <w:t>□  不适用</w:t>
      </w:r>
      <w:r>
        <w:t xml:space="preserve"> </w:t>
      </w:r>
    </w:p>
    <w:tbl>
      <w:tblPr>
        <w:tblStyle w:val="46"/>
        <w:tblW w:w="9639"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928"/>
        <w:gridCol w:w="1312"/>
        <w:gridCol w:w="1665"/>
        <w:gridCol w:w="1367"/>
        <w:gridCol w:w="136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事项</w:t>
            </w:r>
          </w:p>
        </w:tc>
        <w:tc>
          <w:tcPr>
            <w:tcW w:w="1312"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报告期内是否</w:t>
            </w:r>
            <w:r>
              <w:rPr>
                <w:rFonts w:asciiTheme="minorEastAsia" w:hAnsiTheme="minorEastAsia"/>
                <w:b/>
                <w:color w:val="000000" w:themeColor="text1"/>
                <w:sz w:val="22"/>
                <w14:textFill>
                  <w14:solidFill>
                    <w14:schemeClr w14:val="tx1"/>
                  </w14:solidFill>
                </w14:textFill>
              </w:rPr>
              <w:t>存在</w:t>
            </w:r>
          </w:p>
        </w:tc>
        <w:tc>
          <w:tcPr>
            <w:tcW w:w="1665"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是否经过</w:t>
            </w:r>
            <w:r>
              <w:rPr>
                <w:rFonts w:asciiTheme="minorEastAsia" w:hAnsiTheme="minorEastAsia"/>
                <w:b/>
                <w:color w:val="000000" w:themeColor="text1"/>
                <w:sz w:val="22"/>
                <w14:textFill>
                  <w14:solidFill>
                    <w14:schemeClr w14:val="tx1"/>
                  </w14:solidFill>
                </w14:textFill>
              </w:rPr>
              <w:t>内部审议程序</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是否及时履行披露</w:t>
            </w:r>
            <w:r>
              <w:rPr>
                <w:rFonts w:asciiTheme="minorEastAsia" w:hAnsiTheme="minorEastAsia"/>
                <w:b/>
                <w:color w:val="000000" w:themeColor="text1"/>
                <w:sz w:val="22"/>
                <w14:textFill>
                  <w14:solidFill>
                    <w14:schemeClr w14:val="tx1"/>
                  </w14:solidFill>
                </w14:textFill>
              </w:rPr>
              <w:t>义务</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临时</w:t>
            </w:r>
            <w:r>
              <w:rPr>
                <w:rFonts w:asciiTheme="minorEastAsia" w:hAnsiTheme="minorEastAsia"/>
                <w:b/>
                <w:color w:val="000000" w:themeColor="text1"/>
                <w:sz w:val="22"/>
                <w14:textFill>
                  <w14:solidFill>
                    <w14:schemeClr w14:val="tx1"/>
                  </w14:solidFill>
                </w14:textFill>
              </w:rPr>
              <w:t>公告</w:t>
            </w:r>
            <w:r>
              <w:rPr>
                <w:rFonts w:hint="eastAsia" w:asciiTheme="minorEastAsia" w:hAnsiTheme="minorEastAsia"/>
                <w:b/>
                <w:color w:val="000000" w:themeColor="text1"/>
                <w:sz w:val="22"/>
                <w14:textFill>
                  <w14:solidFill>
                    <w14:schemeClr w14:val="tx1"/>
                  </w14:solidFill>
                </w14:textFill>
              </w:rPr>
              <w:t>查询索引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诉讼、仲裁事项</w:t>
            </w:r>
          </w:p>
        </w:tc>
        <w:tc>
          <w:tcPr>
            <w:tcW w:w="1312"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w:t>
            </w:r>
          </w:p>
        </w:tc>
        <w:tc>
          <w:tcPr>
            <w:tcW w:w="1665"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（已事前</w:t>
            </w:r>
            <w:r>
              <w:rPr>
                <w:rFonts w:asciiTheme="minorEastAsia" w:hAnsiTheme="minorEastAsia"/>
                <w:color w:val="FF0000"/>
                <w:sz w:val="22"/>
              </w:rPr>
              <w:t>及时</w:t>
            </w:r>
            <w:r>
              <w:rPr>
                <w:rFonts w:hint="eastAsia" w:asciiTheme="minorEastAsia" w:hAnsiTheme="minorEastAsia"/>
                <w:color w:val="FF0000"/>
                <w:sz w:val="22"/>
              </w:rPr>
              <w:t>履行/已事后</w:t>
            </w:r>
            <w:r>
              <w:rPr>
                <w:rFonts w:asciiTheme="minorEastAsia" w:hAnsiTheme="minorEastAsia"/>
                <w:color w:val="FF0000"/>
                <w:sz w:val="22"/>
              </w:rPr>
              <w:t>补充</w:t>
            </w:r>
            <w:r>
              <w:rPr>
                <w:rFonts w:hint="eastAsia" w:asciiTheme="minorEastAsia" w:hAnsiTheme="minorEastAsia"/>
                <w:color w:val="FF0000"/>
                <w:sz w:val="22"/>
              </w:rPr>
              <w:t>履行/尚未履行/不适用）</w:t>
            </w:r>
          </w:p>
        </w:tc>
        <w:tc>
          <w:tcPr>
            <w:tcW w:w="1367"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（是/否/不适用）</w:t>
            </w: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对外担保事项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对外提供借款</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股东及其关联方占用或转移公司资金、资产</w:t>
            </w:r>
            <w:r>
              <w:rPr>
                <w:rFonts w:hint="eastAsia" w:asciiTheme="minorEastAsia" w:hAnsiTheme="minorEastAsia"/>
                <w:sz w:val="22"/>
              </w:rPr>
              <w:t>及其他</w:t>
            </w:r>
            <w:r>
              <w:rPr>
                <w:rFonts w:asciiTheme="minorEastAsia" w:hAnsiTheme="minorEastAsia"/>
                <w:sz w:val="22"/>
              </w:rPr>
              <w:t>资源</w:t>
            </w:r>
            <w:r>
              <w:rPr>
                <w:rFonts w:hint="eastAsia" w:asciiTheme="minorEastAsia" w:hAnsiTheme="minorEastAsia"/>
                <w:sz w:val="22"/>
              </w:rPr>
              <w:t>的</w:t>
            </w:r>
            <w:r>
              <w:rPr>
                <w:rFonts w:asciiTheme="minorEastAsia" w:hAnsiTheme="minorEastAsia"/>
                <w:sz w:val="22"/>
              </w:rPr>
              <w:t>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日常性关联交易</w:t>
            </w:r>
            <w:r>
              <w:rPr>
                <w:rFonts w:hint="eastAsia" w:asciiTheme="minorEastAsia" w:hAnsiTheme="minorEastAsia"/>
                <w:sz w:val="22"/>
              </w:rPr>
              <w:t>的预计</w:t>
            </w:r>
            <w:r>
              <w:rPr>
                <w:rFonts w:asciiTheme="minorEastAsia" w:hAnsiTheme="minorEastAsia"/>
                <w:sz w:val="22"/>
              </w:rPr>
              <w:t>及执行情况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sz w:val="22"/>
              </w:rPr>
            </w:pPr>
            <w:r>
              <w:rPr>
                <w:rFonts w:hint="eastAsia" w:asciiTheme="minorEastAsia" w:hAnsiTheme="minorEastAsia"/>
                <w:sz w:val="22"/>
              </w:rPr>
              <w:t>其他</w:t>
            </w:r>
            <w:r>
              <w:rPr>
                <w:rFonts w:asciiTheme="minorEastAsia" w:hAnsiTheme="minorEastAsia"/>
                <w:sz w:val="22"/>
              </w:rPr>
              <w:t>重大</w:t>
            </w:r>
            <w:r>
              <w:rPr>
                <w:rFonts w:hint="eastAsia" w:asciiTheme="minorEastAsia" w:hAnsiTheme="minorEastAsia"/>
                <w:sz w:val="22"/>
              </w:rPr>
              <w:t>关联交易事项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经股东大会审议</w:t>
            </w:r>
            <w:r>
              <w:rPr>
                <w:rFonts w:hint="eastAsia" w:asciiTheme="minorEastAsia" w:hAnsiTheme="minorEastAsia"/>
                <w:color w:val="000000" w:themeColor="text1"/>
                <w:sz w:val="22"/>
                <w14:textFill>
                  <w14:solidFill>
                    <w14:schemeClr w14:val="tx1"/>
                  </w14:solidFill>
                </w14:textFill>
              </w:rPr>
              <w:t>通过</w:t>
            </w:r>
            <w:r>
              <w:rPr>
                <w:rFonts w:asciiTheme="minorEastAsia" w:hAnsiTheme="minorEastAsia"/>
                <w:color w:val="000000" w:themeColor="text1"/>
                <w:sz w:val="22"/>
                <w14:textFill>
                  <w14:solidFill>
                    <w14:schemeClr w14:val="tx1"/>
                  </w14:solidFill>
                </w14:textFill>
              </w:rPr>
              <w:t>的收购</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出售资产</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对外投资</w:t>
            </w:r>
            <w:r>
              <w:rPr>
                <w:rFonts w:hint="eastAsia" w:asciiTheme="minorEastAsia" w:hAnsiTheme="minorEastAsia"/>
                <w:color w:val="000000" w:themeColor="text1"/>
                <w:sz w:val="22"/>
                <w14:textFill>
                  <w14:solidFill>
                    <w14:schemeClr w14:val="tx1"/>
                  </w14:solidFill>
                </w14:textFill>
              </w:rPr>
              <w:t>事项或者本季度发生的企业合并事项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股权激励计划、员工持股计划或其他员工激励措施</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股份回购事项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已披露</w:t>
            </w:r>
            <w:r>
              <w:rPr>
                <w:rFonts w:asciiTheme="minorEastAsia" w:hAnsiTheme="minorEastAsia"/>
                <w:color w:val="000000" w:themeColor="text1"/>
                <w:sz w:val="22"/>
                <w14:textFill>
                  <w14:solidFill>
                    <w14:schemeClr w14:val="tx1"/>
                  </w14:solidFill>
                </w14:textFill>
              </w:rPr>
              <w:t>的承诺</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资产被查封、扣押、冻结或者被抵押、质押的情况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被</w:t>
            </w:r>
            <w:r>
              <w:rPr>
                <w:rFonts w:asciiTheme="minorEastAsia" w:hAnsiTheme="minorEastAsia"/>
                <w:color w:val="000000" w:themeColor="text1"/>
                <w:sz w:val="22"/>
                <w14:textFill>
                  <w14:solidFill>
                    <w14:schemeClr w14:val="tx1"/>
                  </w14:solidFill>
                </w14:textFill>
              </w:rPr>
              <w:t>调查</w:t>
            </w:r>
            <w:r>
              <w:rPr>
                <w:rFonts w:hint="eastAsia" w:asciiTheme="minorEastAsia" w:hAnsiTheme="minorEastAsia"/>
                <w:color w:val="000000" w:themeColor="text1"/>
                <w:sz w:val="22"/>
                <w14:textFill>
                  <w14:solidFill>
                    <w14:schemeClr w14:val="tx1"/>
                  </w14:solidFill>
                </w14:textFill>
              </w:rPr>
              <w:t>处罚</w:t>
            </w:r>
            <w:r>
              <w:rPr>
                <w:rFonts w:asciiTheme="minorEastAsia" w:hAnsiTheme="minorEastAsia"/>
                <w:color w:val="000000" w:themeColor="text1"/>
                <w:sz w:val="22"/>
                <w14:textFill>
                  <w14:solidFill>
                    <w14:schemeClr w14:val="tx1"/>
                  </w14:solidFill>
                </w14:textFill>
              </w:rPr>
              <w:t>的事项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失信情况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其他重大事项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bl>
    <w:p>
      <w:pPr>
        <w:tabs>
          <w:tab w:val="left" w:pos="5140"/>
        </w:tabs>
        <w:rPr>
          <w:rFonts w:cs="Times New Roman" w:asciiTheme="minorEastAsia" w:hAnsiTheme="minorEastAsia"/>
          <w:i/>
          <w:color w:val="FF0000"/>
          <w:szCs w:val="21"/>
        </w:rPr>
      </w:pPr>
      <w:r>
        <w:rPr>
          <w:rFonts w:hint="eastAsia" w:cs="Times New Roman" w:asciiTheme="minorEastAsia" w:hAnsiTheme="minorEastAsia"/>
          <w:i/>
          <w:color w:val="FF0000"/>
          <w:szCs w:val="21"/>
        </w:rPr>
        <w:t>注</w:t>
      </w:r>
      <w:r>
        <w:rPr>
          <w:rFonts w:cs="Times New Roman" w:asciiTheme="minorEastAsia" w:hAnsiTheme="minorEastAsia"/>
          <w:i/>
          <w:color w:val="FF0000"/>
          <w:szCs w:val="21"/>
        </w:rPr>
        <w:t>：</w:t>
      </w:r>
    </w:p>
    <w:p>
      <w:pPr>
        <w:pStyle w:val="64"/>
        <w:numPr>
          <w:ilvl w:val="0"/>
          <w:numId w:val="2"/>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如报告期内某一重大事项多次发生的，只要有一次未经内部审议程序的，相应表格中要填</w:t>
      </w:r>
      <w:r>
        <w:rPr>
          <w:rFonts w:asciiTheme="minorEastAsia" w:hAnsiTheme="minorEastAsia"/>
          <w:i/>
          <w:color w:val="FF0000"/>
          <w:szCs w:val="21"/>
        </w:rPr>
        <w:t>“</w:t>
      </w:r>
      <w:r>
        <w:rPr>
          <w:rFonts w:hint="eastAsia" w:asciiTheme="minorEastAsia" w:hAnsiTheme="minorEastAsia"/>
          <w:i/>
          <w:color w:val="FF0000"/>
          <w:sz w:val="22"/>
        </w:rPr>
        <w:t>已事后补充履行</w:t>
      </w:r>
      <w:r>
        <w:rPr>
          <w:rFonts w:asciiTheme="minorEastAsia" w:hAnsiTheme="minorEastAsia"/>
          <w:i/>
          <w:color w:val="FF0000"/>
          <w:szCs w:val="21"/>
        </w:rPr>
        <w:t>”</w:t>
      </w:r>
      <w:r>
        <w:rPr>
          <w:rFonts w:hint="eastAsia" w:asciiTheme="minorEastAsia" w:hAnsiTheme="minorEastAsia"/>
          <w:i/>
          <w:color w:val="FF0000"/>
          <w:szCs w:val="21"/>
        </w:rPr>
        <w:t>、</w:t>
      </w:r>
      <w:r>
        <w:rPr>
          <w:rFonts w:asciiTheme="minorEastAsia" w:hAnsiTheme="minorEastAsia"/>
          <w:i/>
          <w:color w:val="FF0000"/>
          <w:szCs w:val="21"/>
        </w:rPr>
        <w:t>“</w:t>
      </w:r>
      <w:r>
        <w:rPr>
          <w:rFonts w:hint="eastAsia" w:asciiTheme="minorEastAsia" w:hAnsiTheme="minorEastAsia"/>
          <w:i/>
          <w:color w:val="FF0000"/>
          <w:sz w:val="22"/>
        </w:rPr>
        <w:t>尚未履行</w:t>
      </w:r>
      <w:r>
        <w:rPr>
          <w:rFonts w:asciiTheme="minorEastAsia" w:hAnsiTheme="minorEastAsia"/>
          <w:i/>
          <w:color w:val="FF0000"/>
          <w:szCs w:val="21"/>
        </w:rPr>
        <w:t>”</w:t>
      </w:r>
      <w:r>
        <w:rPr>
          <w:rFonts w:hint="eastAsia" w:asciiTheme="minorEastAsia" w:hAnsiTheme="minorEastAsia"/>
          <w:i/>
          <w:color w:val="FF0000"/>
          <w:szCs w:val="21"/>
        </w:rPr>
        <w:t>；只要有一次未及时履行披露义务的，相应表格中要填</w:t>
      </w:r>
      <w:r>
        <w:rPr>
          <w:rFonts w:asciiTheme="minorEastAsia" w:hAnsiTheme="minorEastAsia"/>
          <w:i/>
          <w:color w:val="FF0000"/>
          <w:szCs w:val="21"/>
        </w:rPr>
        <w:t>“</w:t>
      </w:r>
      <w:r>
        <w:rPr>
          <w:rFonts w:hint="eastAsia" w:asciiTheme="minorEastAsia" w:hAnsiTheme="minorEastAsia"/>
          <w:i/>
          <w:color w:val="FF0000"/>
          <w:szCs w:val="21"/>
        </w:rPr>
        <w:t>否</w:t>
      </w:r>
      <w:r>
        <w:rPr>
          <w:rFonts w:asciiTheme="minorEastAsia" w:hAnsiTheme="minorEastAsia"/>
          <w:i/>
          <w:color w:val="FF0000"/>
          <w:szCs w:val="21"/>
        </w:rPr>
        <w:t>”</w:t>
      </w:r>
      <w:r>
        <w:rPr>
          <w:rFonts w:hint="eastAsia" w:asciiTheme="minorEastAsia" w:hAnsiTheme="minorEastAsia"/>
          <w:i/>
          <w:color w:val="FF0000"/>
          <w:szCs w:val="21"/>
        </w:rPr>
        <w:t>。具体违规事项在下面方框中作详细说明；</w:t>
      </w:r>
    </w:p>
    <w:p>
      <w:pPr>
        <w:pStyle w:val="64"/>
        <w:numPr>
          <w:ilvl w:val="0"/>
          <w:numId w:val="2"/>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重大事项包含报告期发生内或以前期间发生但延续到报告期的重大事项；</w:t>
      </w:r>
    </w:p>
    <w:p>
      <w:pPr>
        <w:tabs>
          <w:tab w:val="left" w:pos="5140"/>
        </w:tabs>
        <w:rPr>
          <w:rFonts w:cs="Times New Roman" w:asciiTheme="minorEastAsia" w:hAnsiTheme="minorEastAsia"/>
          <w:i/>
          <w:color w:val="FF0000"/>
          <w:szCs w:val="21"/>
        </w:rPr>
      </w:pPr>
      <w:r>
        <w:rPr>
          <w:rFonts w:cs="Times New Roman" w:asciiTheme="minorEastAsia" w:hAnsiTheme="minorEastAsia"/>
          <w:i/>
          <w:color w:val="FF0000"/>
          <w:szCs w:val="21"/>
        </w:rPr>
        <w:t>3</w:t>
      </w:r>
      <w:r>
        <w:rPr>
          <w:rFonts w:hint="eastAsia" w:cs="Times New Roman" w:asciiTheme="minorEastAsia" w:hAnsiTheme="minorEastAsia"/>
          <w:i/>
          <w:color w:val="FF0000"/>
          <w:szCs w:val="21"/>
        </w:rPr>
        <w:t>、日常性关联交易，是指上市公司和关联方之间发生的购买原材料、燃料、动力，出售产品、商品，提供或者接受劳务等与日常经营相关的交易行为；公司章程中约定适用于本公司的日常关联交易类型；</w:t>
      </w:r>
    </w:p>
    <w:p>
      <w:pPr>
        <w:tabs>
          <w:tab w:val="left" w:pos="5140"/>
        </w:tabs>
        <w:rPr>
          <w:rFonts w:asciiTheme="minorEastAsia" w:hAnsiTheme="minorEastAsia"/>
          <w:i/>
          <w:color w:val="FF0000"/>
          <w:szCs w:val="44"/>
        </w:rPr>
      </w:pPr>
      <w:r>
        <w:rPr>
          <w:rFonts w:cs="Times New Roman" w:asciiTheme="minorEastAsia" w:hAnsiTheme="minorEastAsia"/>
          <w:i/>
          <w:color w:val="FF0000"/>
          <w:szCs w:val="21"/>
        </w:rPr>
        <w:t>4</w:t>
      </w:r>
      <w:r>
        <w:rPr>
          <w:rFonts w:hint="eastAsia" w:cs="Times New Roman" w:asciiTheme="minorEastAsia" w:hAnsiTheme="minorEastAsia"/>
          <w:i/>
          <w:color w:val="FF0000"/>
          <w:szCs w:val="21"/>
        </w:rPr>
        <w:t>、</w:t>
      </w:r>
      <w:r>
        <w:rPr>
          <w:rFonts w:asciiTheme="minorEastAsia" w:hAnsiTheme="minorEastAsia"/>
          <w:i/>
          <w:color w:val="FF0000"/>
          <w:szCs w:val="44"/>
        </w:rPr>
        <w:t>被调查处罚事项</w:t>
      </w:r>
      <w:r>
        <w:rPr>
          <w:rFonts w:hint="eastAsia" w:asciiTheme="minorEastAsia" w:hAnsiTheme="minorEastAsia"/>
          <w:i/>
          <w:color w:val="FF0000"/>
          <w:szCs w:val="44"/>
        </w:rPr>
        <w:t>是</w:t>
      </w:r>
      <w:r>
        <w:rPr>
          <w:rFonts w:asciiTheme="minorEastAsia" w:hAnsiTheme="minorEastAsia"/>
          <w:i/>
          <w:color w:val="FF0000"/>
          <w:szCs w:val="44"/>
        </w:rPr>
        <w:t>指</w:t>
      </w:r>
      <w:r>
        <w:rPr>
          <w:rFonts w:hint="eastAsia" w:asciiTheme="minorEastAsia" w:hAnsiTheme="minorEastAsia"/>
          <w:i/>
          <w:color w:val="FF0000"/>
          <w:szCs w:val="44"/>
        </w:rPr>
        <w:t>:</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（1）公司涉嫌违法违规被中国证监会或其他有权机关调查，被移送司法机关或追究刑事责任，被中国证监会采取行政监管措施或行政处罚，或受到其他对公司生产经营有重大影响的行政处罚；</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2）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pPr>
        <w:tabs>
          <w:tab w:val="left" w:pos="5140"/>
        </w:tabs>
        <w:rPr>
          <w:rFonts w:asciiTheme="minorEastAsia" w:hAnsiTheme="minorEastAsia"/>
          <w:i/>
          <w:color w:val="FF0000"/>
          <w:szCs w:val="44"/>
        </w:rPr>
      </w:pPr>
      <w:r>
        <w:rPr>
          <w:rFonts w:asciiTheme="minorEastAsia" w:hAnsiTheme="minorEastAsia"/>
          <w:i/>
          <w:color w:val="FF0000"/>
          <w:szCs w:val="44"/>
        </w:rPr>
        <w:t>5</w:t>
      </w:r>
      <w:r>
        <w:rPr>
          <w:rFonts w:hint="eastAsia" w:asciiTheme="minorEastAsia" w:hAnsiTheme="minorEastAsia"/>
          <w:i/>
          <w:color w:val="FF0000"/>
          <w:szCs w:val="44"/>
        </w:rPr>
        <w:t>、</w:t>
      </w:r>
      <w:r>
        <w:rPr>
          <w:rFonts w:asciiTheme="minorEastAsia" w:hAnsiTheme="minorEastAsia"/>
          <w:i/>
          <w:color w:val="FF0000"/>
          <w:szCs w:val="44"/>
        </w:rPr>
        <w:t>失信情况是指</w:t>
      </w:r>
      <w:r>
        <w:rPr>
          <w:rFonts w:hint="eastAsia" w:asciiTheme="minorEastAsia" w:hAnsiTheme="minorEastAsia"/>
          <w:i/>
          <w:color w:val="FF0000"/>
          <w:szCs w:val="44"/>
        </w:rPr>
        <w:t>：报告期内上市公司及其控股股东、实际控制人、董事、监事、高级管理人员以及</w:t>
      </w:r>
      <w:r>
        <w:rPr>
          <w:rFonts w:asciiTheme="minorEastAsia" w:hAnsiTheme="minorEastAsia"/>
          <w:i/>
          <w:color w:val="FF0000"/>
          <w:szCs w:val="44"/>
        </w:rPr>
        <w:t>控股</w:t>
      </w:r>
      <w:r>
        <w:rPr>
          <w:rFonts w:hint="eastAsia" w:asciiTheme="minorEastAsia" w:hAnsiTheme="minorEastAsia"/>
          <w:i/>
          <w:color w:val="FF0000"/>
          <w:szCs w:val="44"/>
        </w:rPr>
        <w:t>子公司是否被纳入失信联合惩戒对象的</w:t>
      </w:r>
      <w:r>
        <w:rPr>
          <w:rFonts w:asciiTheme="minorEastAsia" w:hAnsiTheme="minorEastAsia"/>
          <w:i/>
          <w:color w:val="FF0000"/>
          <w:szCs w:val="44"/>
        </w:rPr>
        <w:t>情况</w:t>
      </w:r>
      <w:r>
        <w:rPr>
          <w:rFonts w:hint="eastAsia" w:asciiTheme="minorEastAsia" w:hAnsiTheme="minorEastAsia"/>
          <w:i/>
          <w:color w:val="FF0000"/>
          <w:szCs w:val="44"/>
        </w:rPr>
        <w:t>。</w:t>
      </w:r>
    </w:p>
    <w:p>
      <w:pPr>
        <w:rPr>
          <w:b/>
        </w:rPr>
      </w:pPr>
      <w:r>
        <w:rPr>
          <w:rFonts w:hint="eastAsia"/>
          <w:b/>
        </w:rPr>
        <w:t>重大事项</w:t>
      </w:r>
      <w:r>
        <w:rPr>
          <w:b/>
        </w:rPr>
        <w:t>详情</w:t>
      </w:r>
      <w:r>
        <w:rPr>
          <w:rFonts w:hint="eastAsia"/>
          <w:b/>
        </w:rPr>
        <w:t>、进展情况</w:t>
      </w:r>
      <w:r>
        <w:rPr>
          <w:b/>
        </w:rPr>
        <w:t>及其他重</w:t>
      </w:r>
      <w:r>
        <w:rPr>
          <w:rFonts w:hint="eastAsia"/>
          <w:b/>
        </w:rPr>
        <w:t>大</w:t>
      </w:r>
      <w:r>
        <w:rPr>
          <w:b/>
        </w:rPr>
        <w:t>事项</w:t>
      </w:r>
    </w:p>
    <w:p>
      <w:r>
        <w:rPr>
          <w:rFonts w:hint="eastAsia"/>
        </w:rPr>
        <w:t xml:space="preserve">□  适用  </w:t>
      </w:r>
      <w:r>
        <w:t xml:space="preserve">   </w:t>
      </w:r>
      <w:r>
        <w:rPr>
          <w:rFonts w:hint="eastAsia"/>
        </w:rPr>
        <w:t>□  不适用</w:t>
      </w:r>
      <w:r>
        <w:t xml:space="preserve"> </w:t>
      </w:r>
    </w:p>
    <w:tbl>
      <w:tblPr>
        <w:tblStyle w:val="47"/>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7" w:hRule="atLeast"/>
        </w:trPr>
        <w:tc>
          <w:tcPr>
            <w:tcW w:w="9639" w:type="dxa"/>
          </w:tcPr>
          <w:p>
            <w:pPr>
              <w:rPr>
                <w:rFonts w:cs="Times New Roman" w:asciiTheme="minorEastAsia" w:hAnsiTheme="minorEastAsia"/>
                <w:i/>
                <w:color w:val="FF0000"/>
                <w:szCs w:val="21"/>
              </w:rPr>
            </w:pPr>
            <w:r>
              <w:rPr>
                <w:rFonts w:hint="eastAsia" w:cs="Times New Roman" w:asciiTheme="minorEastAsia" w:hAnsiTheme="minorEastAsia"/>
                <w:i/>
                <w:color w:val="FF0000"/>
                <w:szCs w:val="21"/>
              </w:rPr>
              <w:t>此处</w:t>
            </w:r>
            <w:r>
              <w:rPr>
                <w:rFonts w:cs="Times New Roman" w:asciiTheme="minorEastAsia" w:hAnsiTheme="minorEastAsia"/>
                <w:i/>
                <w:color w:val="FF0000"/>
                <w:szCs w:val="21"/>
              </w:rPr>
              <w:t>披露的内容包括：</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（1）如果存在未经</w:t>
            </w:r>
            <w:r>
              <w:rPr>
                <w:rFonts w:cs="Times New Roman" w:asciiTheme="minorEastAsia" w:hAnsiTheme="minorEastAsia"/>
                <w:i/>
                <w:color w:val="FF0000"/>
                <w:szCs w:val="21"/>
              </w:rPr>
              <w:t>内部审议</w:t>
            </w:r>
            <w:r>
              <w:rPr>
                <w:rFonts w:hint="eastAsia" w:cs="Times New Roman" w:asciiTheme="minorEastAsia" w:hAnsiTheme="minorEastAsia"/>
                <w:i/>
                <w:color w:val="FF0000"/>
                <w:szCs w:val="21"/>
              </w:rPr>
              <w:t>程序</w:t>
            </w:r>
            <w:r>
              <w:rPr>
                <w:rFonts w:cs="Times New Roman" w:asciiTheme="minorEastAsia" w:hAnsiTheme="minorEastAsia"/>
                <w:i/>
                <w:color w:val="FF0000"/>
                <w:szCs w:val="21"/>
              </w:rPr>
              <w:t>审议或未及时履行披露</w:t>
            </w:r>
            <w:r>
              <w:rPr>
                <w:rFonts w:hint="eastAsia" w:cs="Times New Roman" w:asciiTheme="minorEastAsia" w:hAnsiTheme="minorEastAsia"/>
                <w:i/>
                <w:color w:val="FF0000"/>
                <w:szCs w:val="21"/>
              </w:rPr>
              <w:t>义务</w:t>
            </w:r>
            <w:r>
              <w:rPr>
                <w:rFonts w:cs="Times New Roman" w:asciiTheme="minorEastAsia" w:hAnsiTheme="minorEastAsia"/>
                <w:i/>
                <w:color w:val="FF0000"/>
                <w:szCs w:val="21"/>
              </w:rPr>
              <w:t>的</w:t>
            </w:r>
            <w:r>
              <w:rPr>
                <w:rFonts w:hint="eastAsia" w:cs="Times New Roman" w:asciiTheme="minorEastAsia" w:hAnsiTheme="minorEastAsia"/>
                <w:i/>
                <w:color w:val="FF0000"/>
                <w:szCs w:val="21"/>
              </w:rPr>
              <w:t>重大事项</w:t>
            </w:r>
            <w:r>
              <w:rPr>
                <w:rFonts w:cs="Times New Roman" w:asciiTheme="minorEastAsia" w:hAnsiTheme="minorEastAsia"/>
                <w:i/>
                <w:color w:val="FF0000"/>
                <w:szCs w:val="21"/>
              </w:rPr>
              <w:t>，需要</w:t>
            </w:r>
            <w:r>
              <w:rPr>
                <w:rFonts w:hint="eastAsia" w:cs="Times New Roman" w:asciiTheme="minorEastAsia" w:hAnsiTheme="minorEastAsia"/>
                <w:i/>
                <w:color w:val="FF0000"/>
                <w:szCs w:val="21"/>
              </w:rPr>
              <w:t>按</w:t>
            </w:r>
            <w:r>
              <w:rPr>
                <w:rFonts w:cs="Times New Roman" w:asciiTheme="minorEastAsia" w:hAnsiTheme="minorEastAsia"/>
                <w:i/>
                <w:color w:val="FF0000"/>
                <w:szCs w:val="21"/>
              </w:rPr>
              <w:t>重大事项的</w:t>
            </w:r>
            <w:r>
              <w:rPr>
                <w:rFonts w:hint="eastAsia" w:cs="Times New Roman" w:asciiTheme="minorEastAsia" w:hAnsiTheme="minorEastAsia"/>
                <w:i/>
                <w:color w:val="FF0000"/>
                <w:szCs w:val="21"/>
              </w:rPr>
              <w:t>不同性质</w:t>
            </w:r>
            <w:r>
              <w:rPr>
                <w:rFonts w:cs="Times New Roman" w:asciiTheme="minorEastAsia" w:hAnsiTheme="minorEastAsia"/>
                <w:i/>
                <w:color w:val="FF0000"/>
                <w:szCs w:val="21"/>
              </w:rPr>
              <w:t>分类</w:t>
            </w:r>
            <w:r>
              <w:rPr>
                <w:rFonts w:hint="eastAsia" w:cs="Times New Roman" w:asciiTheme="minorEastAsia" w:hAnsiTheme="minorEastAsia"/>
                <w:i/>
                <w:color w:val="FF0000"/>
                <w:szCs w:val="21"/>
              </w:rPr>
              <w:t>详细说明；</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2）若前述重大事项对本报告期或以后期间的公司财务状况和经营成果产生重大影响，对投资者投资决策产生重大影响，应当披露该重大事项进展情况，并说明其影响和解决方案。公司已在临时报告披露且无后续进展的，仅需披露该事项概述，并提供临时报告披露网站的查询索引；</w:t>
            </w:r>
          </w:p>
          <w:p>
            <w:pPr>
              <w:tabs>
                <w:tab w:val="left" w:pos="5140"/>
              </w:tabs>
              <w:rPr>
                <w:rFonts w:asciiTheme="minorEastAsia" w:hAnsiTheme="minorEastAsia"/>
                <w:i/>
                <w:color w:val="000000" w:themeColor="text1"/>
                <w:szCs w:val="44"/>
                <w14:textFill>
                  <w14:solidFill>
                    <w14:schemeClr w14:val="tx1"/>
                  </w14:solidFill>
                </w14:textFill>
              </w:rPr>
            </w:pPr>
            <w:r>
              <w:rPr>
                <w:rFonts w:cs="Times New Roman" w:asciiTheme="minorEastAsia" w:hAnsiTheme="minorEastAsia"/>
                <w:i/>
                <w:color w:val="FF0000"/>
                <w:szCs w:val="21"/>
              </w:rPr>
              <w:t>（3）</w:t>
            </w:r>
            <w:r>
              <w:rPr>
                <w:rFonts w:hint="eastAsia" w:asciiTheme="minorEastAsia" w:hAnsiTheme="minorEastAsia"/>
                <w:i/>
                <w:color w:val="FF0000"/>
                <w:szCs w:val="44"/>
              </w:rPr>
              <w:t>公司应当披露其他发生可能对上市公司股票或其他证券品种交易价格产生较大影响，或者对投资者作出投资决策有较大影响的重大事件，以及公司董事会判断为重大事件的事项。</w:t>
            </w:r>
          </w:p>
        </w:tc>
      </w:tr>
    </w:tbl>
    <w:p>
      <w:pPr>
        <w:pStyle w:val="44"/>
        <w:rPr>
          <w:rFonts w:ascii="黑体" w:hAnsi="黑体" w:eastAsia="黑体"/>
          <w:b w:val="0"/>
          <w:sz w:val="36"/>
          <w:szCs w:val="36"/>
        </w:rPr>
      </w:pPr>
      <w:r>
        <w:rPr>
          <w:rFonts w:hint="eastAsia" w:ascii="黑体" w:hAnsi="黑体" w:eastAsia="黑体"/>
          <w:b w:val="0"/>
          <w:sz w:val="36"/>
          <w:szCs w:val="36"/>
        </w:rPr>
        <w:t>第四节 财务会计报告</w:t>
      </w:r>
    </w:p>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一、财务</w:t>
      </w:r>
      <w:r>
        <w:rPr>
          <w:rFonts w:ascii="微软雅黑" w:hAnsi="微软雅黑" w:eastAsia="微软雅黑"/>
          <w:b/>
          <w:color w:val="000000" w:themeColor="text1"/>
          <w:sz w:val="22"/>
          <w14:textFill>
            <w14:solidFill>
              <w14:schemeClr w14:val="tx1"/>
            </w14:solidFill>
          </w14:textFill>
        </w:rPr>
        <w:t>报告</w:t>
      </w:r>
      <w:r>
        <w:rPr>
          <w:rFonts w:hint="eastAsia" w:ascii="微软雅黑" w:hAnsi="微软雅黑" w:eastAsia="微软雅黑"/>
          <w:b/>
          <w:color w:val="000000" w:themeColor="text1"/>
          <w:sz w:val="22"/>
          <w14:textFill>
            <w14:solidFill>
              <w14:schemeClr w14:val="tx1"/>
            </w14:solidFill>
          </w14:textFill>
        </w:rPr>
        <w:t>的</w:t>
      </w:r>
      <w:r>
        <w:rPr>
          <w:rFonts w:ascii="微软雅黑" w:hAnsi="微软雅黑" w:eastAsia="微软雅黑"/>
          <w:b/>
          <w:color w:val="000000" w:themeColor="text1"/>
          <w:sz w:val="22"/>
          <w14:textFill>
            <w14:solidFill>
              <w14:schemeClr w14:val="tx1"/>
            </w14:solidFill>
          </w14:textFill>
        </w:rPr>
        <w:t>审计情况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（是/否）注：选择“否”，无需披露表格后续内容</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审计意见</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下拉</w:t>
            </w:r>
            <w:r>
              <w:rPr>
                <w:rFonts w:asciiTheme="minorEastAsia" w:hAnsiTheme="minorEastAsia"/>
                <w:color w:val="FF0000"/>
                <w:sz w:val="22"/>
              </w:rPr>
              <w:t>选项</w:t>
            </w:r>
            <w:r>
              <w:rPr>
                <w:rFonts w:hint="eastAsia" w:asciiTheme="minorEastAsia" w:hAnsiTheme="minorEastAsia"/>
                <w:color w:val="FF0000"/>
                <w:sz w:val="22"/>
              </w:rPr>
              <w:t>（</w:t>
            </w:r>
            <w:r>
              <w:rPr>
                <w:rFonts w:asciiTheme="minorEastAsia" w:hAnsiTheme="minorEastAsia"/>
                <w:color w:val="FF0000"/>
                <w:sz w:val="22"/>
              </w:rPr>
              <w:t>单选）:</w:t>
            </w:r>
            <w:r>
              <w:rPr>
                <w:rFonts w:hint="eastAsia" w:asciiTheme="minorEastAsia" w:hAnsiTheme="minorEastAsia"/>
                <w:color w:val="FF0000"/>
                <w:sz w:val="22"/>
              </w:rPr>
              <w:t xml:space="preserve"> 无保留意见，保留意见、否定意见、无法表示意见</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w:t>
            </w:r>
            <w:r>
              <w:rPr>
                <w:rFonts w:hint="eastAsia" w:asciiTheme="minorEastAsia" w:hAnsiTheme="minorEastAsia"/>
                <w:color w:val="000000" w:themeColor="text1"/>
                <w:sz w:val="22"/>
                <w14:textFill>
                  <w14:solidFill>
                    <w14:schemeClr w14:val="tx1"/>
                  </w14:solidFill>
                </w14:textFill>
              </w:rPr>
              <w:t>中的</w:t>
            </w:r>
            <w:r>
              <w:rPr>
                <w:rFonts w:asciiTheme="minorEastAsia" w:hAnsiTheme="minorEastAsia"/>
                <w:color w:val="000000" w:themeColor="text1"/>
                <w:sz w:val="22"/>
                <w14:textFill>
                  <w14:solidFill>
                    <w14:schemeClr w14:val="tx1"/>
                  </w14:solidFill>
                </w14:textFill>
              </w:rPr>
              <w:t>特别段落</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下拉</w:t>
            </w:r>
            <w:r>
              <w:rPr>
                <w:rFonts w:asciiTheme="minorEastAsia" w:hAnsiTheme="minorEastAsia"/>
                <w:color w:val="FF0000"/>
                <w:sz w:val="22"/>
              </w:rPr>
              <w:t>选项（多选）：</w:t>
            </w:r>
            <w:r>
              <w:rPr>
                <w:rFonts w:hint="eastAsia" w:asciiTheme="minorEastAsia" w:hAnsiTheme="minorEastAsia"/>
                <w:color w:val="FF0000"/>
                <w:sz w:val="22"/>
              </w:rPr>
              <w:t>无、强调</w:t>
            </w:r>
            <w:r>
              <w:rPr>
                <w:rFonts w:asciiTheme="minorEastAsia" w:hAnsiTheme="minorEastAsia"/>
                <w:color w:val="FF0000"/>
                <w:sz w:val="22"/>
              </w:rPr>
              <w:t>事项段、其他</w:t>
            </w:r>
            <w:r>
              <w:rPr>
                <w:rFonts w:hint="eastAsia" w:asciiTheme="minorEastAsia" w:hAnsiTheme="minorEastAsia"/>
                <w:color w:val="FF0000"/>
                <w:sz w:val="22"/>
              </w:rPr>
              <w:t>事项段</w:t>
            </w:r>
            <w:r>
              <w:rPr>
                <w:rFonts w:asciiTheme="minorEastAsia" w:hAnsiTheme="minorEastAsia"/>
                <w:color w:val="FF0000"/>
                <w:sz w:val="22"/>
              </w:rPr>
              <w:t>、持续经营重大不确定</w:t>
            </w:r>
            <w:r>
              <w:rPr>
                <w:rFonts w:hint="eastAsia" w:asciiTheme="minorEastAsia" w:hAnsiTheme="minorEastAsia"/>
                <w:color w:val="FF0000"/>
                <w:sz w:val="22"/>
              </w:rPr>
              <w:t>性</w:t>
            </w:r>
            <w:r>
              <w:rPr>
                <w:rFonts w:asciiTheme="minorEastAsia" w:hAnsiTheme="minorEastAsia"/>
                <w:color w:val="FF0000"/>
                <w:sz w:val="22"/>
              </w:rPr>
              <w:t>段落、其他信息段落中包含其他信息存在未更正重大错报说明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审计报告编号</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机构名称</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（请填写会计师事务所全称。填写示例：立信会计师事务所（特殊普通合伙）。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机构地址</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报告日期</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注册会计师</w:t>
            </w:r>
            <w:r>
              <w:rPr>
                <w:rFonts w:asciiTheme="minorEastAsia" w:hAnsiTheme="minorEastAsia"/>
                <w:color w:val="000000" w:themeColor="text1"/>
                <w:sz w:val="22"/>
                <w14:textFill>
                  <w14:solidFill>
                    <w14:schemeClr w14:val="tx1"/>
                  </w14:solidFill>
                </w14:textFill>
              </w:rPr>
              <w:t>姓名</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会计师事务所是否变更</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（是/否）注：本次</w:t>
            </w:r>
            <w:r>
              <w:rPr>
                <w:rFonts w:asciiTheme="minorEastAsia" w:hAnsiTheme="minorEastAsia"/>
                <w:color w:val="FF0000"/>
                <w:sz w:val="22"/>
              </w:rPr>
              <w:t>与</w:t>
            </w:r>
            <w:r>
              <w:rPr>
                <w:rFonts w:hint="eastAsia" w:asciiTheme="minorEastAsia" w:hAnsiTheme="minorEastAsia"/>
                <w:color w:val="FF0000"/>
                <w:sz w:val="22"/>
              </w:rPr>
              <w:t>最近</w:t>
            </w:r>
            <w:r>
              <w:rPr>
                <w:rFonts w:asciiTheme="minorEastAsia" w:hAnsiTheme="minorEastAsia"/>
                <w:color w:val="FF0000"/>
                <w:sz w:val="22"/>
              </w:rPr>
              <w:t>一期</w:t>
            </w:r>
            <w:r>
              <w:rPr>
                <w:rFonts w:hint="eastAsia" w:asciiTheme="minorEastAsia" w:hAnsiTheme="minorEastAsia"/>
                <w:color w:val="FF0000"/>
                <w:sz w:val="22"/>
              </w:rPr>
              <w:t>披露</w:t>
            </w:r>
            <w:r>
              <w:rPr>
                <w:rFonts w:asciiTheme="minorEastAsia" w:hAnsiTheme="minorEastAsia"/>
                <w:color w:val="FF0000"/>
                <w:sz w:val="22"/>
              </w:rPr>
              <w:t>的</w:t>
            </w:r>
            <w:r>
              <w:rPr>
                <w:rFonts w:hint="eastAsia" w:asciiTheme="minorEastAsia" w:hAnsiTheme="minorEastAsia"/>
                <w:color w:val="FF0000"/>
                <w:sz w:val="22"/>
              </w:rPr>
              <w:t>经</w:t>
            </w:r>
            <w:r>
              <w:rPr>
                <w:rFonts w:asciiTheme="minorEastAsia" w:hAnsiTheme="minorEastAsia"/>
                <w:color w:val="FF0000"/>
                <w:sz w:val="22"/>
              </w:rPr>
              <w:t>审计定期报告的</w:t>
            </w:r>
            <w:r>
              <w:rPr>
                <w:rFonts w:hint="eastAsia" w:asciiTheme="minorEastAsia" w:hAnsiTheme="minorEastAsia"/>
                <w:color w:val="FF0000"/>
                <w:sz w:val="22"/>
              </w:rPr>
              <w:t>会计师事务所</w:t>
            </w:r>
            <w:r>
              <w:rPr>
                <w:rFonts w:asciiTheme="minorEastAsia" w:hAnsiTheme="minorEastAsia"/>
                <w:color w:val="FF0000"/>
                <w:sz w:val="22"/>
              </w:rPr>
              <w:t>是否发生变更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6" w:hRule="atLeast"/>
        </w:trPr>
        <w:tc>
          <w:tcPr>
            <w:tcW w:w="9639" w:type="dxa"/>
            <w:gridSpan w:val="2"/>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审计报告正文</w:t>
            </w:r>
            <w:r>
              <w:rPr>
                <w:rFonts w:asciiTheme="minorEastAsia" w:hAnsiTheme="minorEastAsia"/>
                <w:color w:val="000000" w:themeColor="text1"/>
                <w:sz w:val="22"/>
                <w14:textFill>
                  <w14:solidFill>
                    <w14:schemeClr w14:val="tx1"/>
                  </w14:solidFill>
                </w14:textFill>
              </w:rPr>
              <w:t>：</w:t>
            </w:r>
          </w:p>
          <w:p>
            <w:pPr>
              <w:tabs>
                <w:tab w:val="left" w:pos="5140"/>
              </w:tabs>
              <w:rPr>
                <w:rFonts w:asciiTheme="minorEastAsia" w:hAnsiTheme="minorEastAsia"/>
                <w:color w:val="000000" w:themeColor="text1"/>
                <w:sz w:val="22"/>
                <w14:textFill>
                  <w14:solidFill>
                    <w14:schemeClr w14:val="tx1"/>
                  </w14:solidFill>
                </w14:textFill>
              </w:rPr>
            </w:pPr>
            <w:r>
              <w:rPr>
                <w:rFonts w:hint="eastAsia"/>
                <w:color w:val="FF0000"/>
              </w:rPr>
              <w:t>注：若公司财务报告经注册会计师审计，请粘贴审计报告正文</w:t>
            </w:r>
          </w:p>
        </w:tc>
      </w:tr>
    </w:tbl>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二、</w:t>
      </w:r>
      <w:r>
        <w:rPr>
          <w:rFonts w:ascii="微软雅黑" w:hAnsi="微软雅黑" w:eastAsia="微软雅黑"/>
          <w:b/>
          <w:color w:val="000000" w:themeColor="text1"/>
          <w:sz w:val="22"/>
          <w14:textFill>
            <w14:solidFill>
              <w14:schemeClr w14:val="tx1"/>
            </w14:solidFill>
          </w14:textFill>
        </w:rPr>
        <w:t>财务报表</w:t>
      </w:r>
    </w:p>
    <w:p>
      <w:pPr>
        <w:rPr>
          <w:rFonts w:ascii="宋体" w:hAnsi="宋体" w:eastAsia="宋体"/>
          <w:color w:val="000000"/>
          <w:szCs w:val="21"/>
        </w:rPr>
      </w:pPr>
    </w:p>
    <w:p>
      <w:pPr>
        <w:pStyle w:val="64"/>
        <w:widowControl/>
        <w:numPr>
          <w:ilvl w:val="0"/>
          <w:numId w:val="3"/>
        </w:numPr>
        <w:ind w:right="272" w:firstLineChars="0"/>
        <w:jc w:val="left"/>
        <w:outlineLvl w:val="2"/>
        <w:rPr>
          <w:sz w:val="22"/>
        </w:rPr>
      </w:pPr>
      <w:r>
        <w:rPr>
          <w:rFonts w:hint="eastAsia" w:ascii="宋体" w:hAnsi="宋体"/>
          <w:b/>
          <w:bCs/>
          <w:color w:val="000000"/>
          <w:szCs w:val="18"/>
        </w:rPr>
        <w:t>合并资产负债表</w:t>
      </w:r>
      <w:r>
        <w:rPr>
          <w:rFonts w:ascii="宋体" w:hAnsi="宋体"/>
          <w:b/>
          <w:bCs/>
          <w:color w:val="000000"/>
          <w:szCs w:val="18"/>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eastAsia="zh-CN"/>
        </w:rPr>
        <w:t xml:space="preserve">                                        </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3"/>
        <w:gridCol w:w="3860"/>
        <w:gridCol w:w="341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950"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2024年3月31日</w:t>
            </w:r>
          </w:p>
        </w:tc>
        <w:tc>
          <w:tcPr>
            <w:tcW w:w="1726"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left"/>
              <w:rPr>
                <w:rFonts w:ascii="宋体" w:hAnsi="宋体" w:eastAsia="宋体" w:cs="Times New Roman"/>
                <w:b/>
                <w:sz w:val="18"/>
                <w:szCs w:val="18"/>
              </w:rPr>
            </w:pPr>
            <w:r>
              <w:rPr>
                <w:rFonts w:hint="eastAsia" w:ascii="宋体" w:hAnsi="宋体" w:eastAsia="宋体" w:cs="Times New Roman"/>
                <w:b/>
                <w:sz w:val="18"/>
                <w:szCs w:val="18"/>
              </w:rPr>
              <w:t>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hint="eastAsia" w:ascii="宋体" w:hAnsi="宋体" w:eastAsia="宋体" w:cs="Times New Roman"/>
                <w:sz w:val="18"/>
                <w:szCs w:val="18"/>
              </w:rPr>
            </w:pPr>
            <w:r>
              <w:rPr>
                <w:rFonts w:hint="eastAsia" w:ascii="宋体" w:hAnsi="宋体" w:eastAsia="宋体" w:cs="Times New Roman"/>
                <w:sz w:val="18"/>
                <w:szCs w:val="18"/>
              </w:rPr>
              <w:t>其中：数据资源</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hint="eastAsia" w:ascii="宋体" w:hAnsi="宋体" w:eastAsia="宋体" w:cs="Times New Roman"/>
                <w:sz w:val="18"/>
                <w:szCs w:val="18"/>
              </w:rPr>
            </w:pPr>
            <w:r>
              <w:rPr>
                <w:rFonts w:hint="eastAsia" w:ascii="宋体" w:hAnsi="宋体" w:eastAsia="宋体" w:cs="Times New Roman"/>
                <w:sz w:val="18"/>
                <w:szCs w:val="18"/>
              </w:rPr>
              <w:t>其中：数据资源</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hint="eastAsia" w:ascii="宋体" w:hAnsi="宋体" w:eastAsia="宋体" w:cs="Times New Roman"/>
                <w:sz w:val="18"/>
                <w:szCs w:val="18"/>
              </w:rPr>
            </w:pPr>
            <w:r>
              <w:rPr>
                <w:rFonts w:hint="eastAsia" w:ascii="宋体" w:hAnsi="宋体" w:eastAsia="宋体" w:cs="Times New Roman"/>
                <w:sz w:val="18"/>
                <w:szCs w:val="18"/>
              </w:rPr>
              <w:t>其中：数据资源</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32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32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950" w:type="pct"/>
            <w:shd w:val="pct10" w:color="auto" w:fill="auto"/>
          </w:tcPr>
          <w:p>
            <w:pPr>
              <w:widowControl/>
              <w:jc w:val="right"/>
              <w:rPr>
                <w:rFonts w:ascii="宋体" w:hAnsi="宋体" w:eastAsia="宋体" w:cs="宋体"/>
                <w:kern w:val="0"/>
                <w:sz w:val="18"/>
                <w:szCs w:val="18"/>
                <w:shd w:val="clear" w:color="auto" w:fill="D9D9D9"/>
              </w:rPr>
            </w:pPr>
          </w:p>
        </w:tc>
        <w:tc>
          <w:tcPr>
            <w:tcW w:w="1726"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950" w:type="pct"/>
            <w:shd w:val="pct10" w:color="auto" w:fill="auto"/>
          </w:tcPr>
          <w:p>
            <w:pPr>
              <w:widowControl/>
              <w:jc w:val="right"/>
              <w:rPr>
                <w:rFonts w:ascii="宋体" w:hAnsi="宋体" w:eastAsia="宋体" w:cs="宋体"/>
                <w:kern w:val="0"/>
                <w:sz w:val="18"/>
                <w:szCs w:val="18"/>
                <w:shd w:val="clear" w:color="auto" w:fill="D9D9D9"/>
              </w:rPr>
            </w:pPr>
          </w:p>
        </w:tc>
        <w:tc>
          <w:tcPr>
            <w:tcW w:w="1726"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eastAsia="zh-CN"/>
        </w:rPr>
      </w:pPr>
      <w:bookmarkStart w:id="3" w:name="_Toc241636376"/>
      <w:bookmarkStart w:id="4" w:name="_Toc369159466"/>
      <w:bookmarkStart w:id="5" w:name="_Toc247371780"/>
      <w:bookmarkStart w:id="6" w:name="_Toc247094005"/>
      <w:r>
        <w:rPr>
          <w:rFonts w:ascii="Calibri" w:hAnsi="Calibri" w:eastAsia="宋体" w:cs="Times New Roman"/>
          <w:sz w:val="18"/>
          <w:szCs w:val="18"/>
        </w:rPr>
        <w:t>法定代表人：_____________ 主管会计工作负责人：_____________ 会计机构负责人：_____________</w:t>
      </w:r>
      <w:bookmarkEnd w:id="3"/>
      <w:bookmarkEnd w:id="4"/>
      <w:bookmarkEnd w:id="5"/>
      <w:bookmarkEnd w:id="6"/>
    </w:p>
    <w:p>
      <w:pPr>
        <w:pStyle w:val="64"/>
        <w:widowControl/>
        <w:numPr>
          <w:ilvl w:val="0"/>
          <w:numId w:val="3"/>
        </w:numPr>
        <w:ind w:right="272" w:firstLineChars="0"/>
        <w:jc w:val="left"/>
        <w:outlineLvl w:val="2"/>
        <w:rPr>
          <w:rFonts w:ascii="宋体" w:hAnsi="宋体"/>
          <w:b/>
          <w:bCs/>
          <w:color w:val="000000"/>
          <w:szCs w:val="18"/>
        </w:rPr>
      </w:pPr>
      <w:bookmarkStart w:id="7" w:name="OLE_LINK4"/>
      <w:bookmarkStart w:id="8" w:name="OLE_LINK3"/>
      <w:r>
        <w:rPr>
          <w:rFonts w:hint="eastAsia" w:ascii="宋体" w:hAnsi="宋体"/>
          <w:b/>
          <w:bCs/>
          <w:color w:val="000000"/>
          <w:szCs w:val="18"/>
        </w:rPr>
        <w:t>母公司</w:t>
      </w:r>
      <w:r>
        <w:rPr>
          <w:rFonts w:ascii="宋体" w:hAnsi="宋体"/>
          <w:b/>
          <w:bCs/>
          <w:color w:val="000000"/>
          <w:szCs w:val="18"/>
        </w:rPr>
        <w:t>资产负债表</w:t>
      </w:r>
      <w:r>
        <w:rPr>
          <w:rFonts w:hint="eastAsia"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bookmarkEnd w:id="7"/>
    <w:bookmarkEnd w:id="8"/>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1"/>
        <w:gridCol w:w="3860"/>
        <w:gridCol w:w="341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950"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2024年3月31日</w:t>
            </w:r>
          </w:p>
        </w:tc>
        <w:tc>
          <w:tcPr>
            <w:tcW w:w="1726"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应收票据</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应收账款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ind w:left="458" w:leftChars="218"/>
              <w:rPr>
                <w:rFonts w:ascii="宋体" w:hAnsi="宋体" w:eastAsia="宋体" w:cs="Times New Roman"/>
                <w:sz w:val="18"/>
                <w:szCs w:val="18"/>
              </w:rPr>
            </w:pPr>
            <w:r>
              <w:rPr>
                <w:rFonts w:hint="eastAsia" w:ascii="Calibri" w:hAnsi="Calibri" w:eastAsia="宋体" w:cs="Times New Roman"/>
                <w:sz w:val="18"/>
                <w:szCs w:val="18"/>
              </w:rPr>
              <w:t>应收股利</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hint="eastAsia" w:ascii="宋体" w:hAnsi="宋体" w:eastAsia="宋体" w:cs="Times New Roman"/>
                <w:sz w:val="18"/>
                <w:szCs w:val="18"/>
              </w:rPr>
            </w:pPr>
            <w:r>
              <w:rPr>
                <w:rFonts w:hint="eastAsia" w:ascii="宋体" w:hAnsi="宋体" w:eastAsia="宋体" w:cs="Times New Roman"/>
                <w:sz w:val="18"/>
                <w:szCs w:val="18"/>
              </w:rPr>
              <w:t>其中：数据资源</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950" w:type="pct"/>
            <w:shd w:val="clear" w:color="auto" w:fill="auto"/>
          </w:tcPr>
          <w:p>
            <w:pPr>
              <w:ind w:right="90"/>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hint="eastAsia" w:ascii="宋体" w:hAnsi="宋体" w:eastAsia="宋体" w:cs="Times New Roman"/>
                <w:sz w:val="18"/>
                <w:szCs w:val="18"/>
              </w:rPr>
            </w:pPr>
            <w:r>
              <w:rPr>
                <w:rFonts w:hint="eastAsia" w:ascii="宋体" w:hAnsi="宋体" w:eastAsia="宋体" w:cs="Times New Roman"/>
                <w:sz w:val="18"/>
                <w:szCs w:val="18"/>
              </w:rPr>
              <w:t>其中：数据资源</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hint="eastAsia" w:ascii="宋体" w:hAnsi="宋体" w:eastAsia="宋体" w:cs="Times New Roman"/>
                <w:sz w:val="18"/>
                <w:szCs w:val="18"/>
              </w:rPr>
            </w:pPr>
            <w:r>
              <w:rPr>
                <w:rFonts w:hint="eastAsia" w:ascii="宋体" w:hAnsi="宋体" w:eastAsia="宋体" w:cs="Times New Roman"/>
                <w:sz w:val="18"/>
                <w:szCs w:val="18"/>
              </w:rPr>
              <w:t>其中：数据资源</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应付票据</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应付账款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950" w:type="pct"/>
            <w:shd w:val="clear" w:color="auto" w:fill="auto"/>
          </w:tcPr>
          <w:p>
            <w:pPr>
              <w:jc w:val="center"/>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950" w:type="pct"/>
            <w:shd w:val="pct10" w:color="auto" w:fill="FFFFFF"/>
          </w:tcPr>
          <w:p>
            <w:pPr>
              <w:jc w:val="right"/>
              <w:rPr>
                <w:rFonts w:ascii="宋体" w:hAnsi="宋体" w:eastAsia="宋体" w:cs="Times New Roman"/>
                <w:b/>
                <w:sz w:val="18"/>
                <w:szCs w:val="18"/>
              </w:rPr>
            </w:pPr>
          </w:p>
        </w:tc>
        <w:tc>
          <w:tcPr>
            <w:tcW w:w="1726"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所有者权益（或股东权益）合计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负债和所有者权益（或股东权益）</w:t>
            </w:r>
            <w:r>
              <w:rPr>
                <w:rFonts w:ascii="宋体" w:hAnsi="宋体" w:eastAsia="宋体" w:cs="Times New Roman"/>
                <w:b/>
                <w:sz w:val="18"/>
                <w:szCs w:val="18"/>
              </w:rPr>
              <w:t>总</w:t>
            </w:r>
            <w:r>
              <w:rPr>
                <w:rFonts w:hint="eastAsia" w:ascii="宋体" w:hAnsi="宋体" w:eastAsia="宋体" w:cs="Times New Roman"/>
                <w:b/>
                <w:sz w:val="18"/>
                <w:szCs w:val="18"/>
              </w:rPr>
              <w:t>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bl>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合并利润表</w:t>
      </w:r>
      <w:r>
        <w:rPr>
          <w:rFonts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96"/>
        <w:gridCol w:w="3118"/>
        <w:gridCol w:w="298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7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w:t>
            </w:r>
            <w:r>
              <w:rPr>
                <w:rFonts w:ascii="宋体" w:hAnsi="宋体" w:eastAsia="宋体" w:cs="Times New Roman"/>
                <w:b/>
                <w:sz w:val="18"/>
                <w:szCs w:val="18"/>
              </w:rPr>
              <w:t>1-3</w:t>
            </w:r>
            <w:r>
              <w:rPr>
                <w:rFonts w:hint="eastAsia" w:ascii="宋体" w:hAnsi="宋体" w:eastAsia="宋体" w:cs="Times New Roman"/>
                <w:b/>
                <w:sz w:val="18"/>
                <w:szCs w:val="18"/>
              </w:rPr>
              <w:t>月</w:t>
            </w:r>
          </w:p>
        </w:tc>
        <w:tc>
          <w:tcPr>
            <w:tcW w:w="1507"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2023年1</w:t>
            </w:r>
            <w:r>
              <w:rPr>
                <w:rFonts w:ascii="宋体" w:hAnsi="宋体" w:eastAsia="宋体" w:cs="Times New Roman"/>
                <w:b/>
                <w:sz w:val="18"/>
                <w:szCs w:val="18"/>
              </w:rPr>
              <w:t>-3</w:t>
            </w:r>
            <w:r>
              <w:rPr>
                <w:rFonts w:hint="eastAsia" w:ascii="宋体" w:hAnsi="宋体" w:eastAsia="宋体" w:cs="Times New Roman"/>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其中：对联营企业和合营企业的投资收益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900" w:firstLineChars="5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不能重分类进损益的其他综合收益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（5）其他</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母公司利润表</w:t>
      </w:r>
    </w:p>
    <w:p>
      <w:pPr>
        <w:pStyle w:val="64"/>
        <w:ind w:left="360" w:right="105" w:firstLine="0" w:firstLineChars="0"/>
        <w:jc w:val="right"/>
      </w:pPr>
      <w:r>
        <w:rPr>
          <w:rFonts w:hint="eastAsia"/>
        </w:rPr>
        <w:t>单位</w:t>
      </w:r>
      <w: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16"/>
        <w:gridCol w:w="3084"/>
        <w:gridCol w:w="299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58"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2024年</w:t>
            </w:r>
            <w:r>
              <w:rPr>
                <w:rFonts w:ascii="宋体" w:hAnsi="宋体" w:eastAsia="宋体" w:cs="Times New Roman"/>
                <w:b/>
                <w:sz w:val="18"/>
                <w:szCs w:val="18"/>
              </w:rPr>
              <w:t>1-3</w:t>
            </w:r>
            <w:r>
              <w:rPr>
                <w:rFonts w:hint="eastAsia" w:ascii="宋体" w:hAnsi="宋体" w:eastAsia="宋体" w:cs="Times New Roman"/>
                <w:b/>
                <w:sz w:val="18"/>
                <w:szCs w:val="18"/>
              </w:rPr>
              <w:t>月</w:t>
            </w:r>
          </w:p>
        </w:tc>
        <w:tc>
          <w:tcPr>
            <w:tcW w:w="1514"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2023年1</w:t>
            </w:r>
            <w:r>
              <w:rPr>
                <w:rFonts w:ascii="宋体" w:hAnsi="宋体" w:eastAsia="宋体" w:cs="Times New Roman"/>
                <w:b/>
                <w:sz w:val="18"/>
                <w:szCs w:val="18"/>
              </w:rPr>
              <w:t>-3</w:t>
            </w:r>
            <w:r>
              <w:rPr>
                <w:rFonts w:hint="eastAsia" w:ascii="宋体" w:hAnsi="宋体" w:eastAsia="宋体" w:cs="Times New Roman"/>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汇兑收益（损失以“-”号填列）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其他债权投资信用减值准备</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bl>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74"/>
        <w:gridCol w:w="2864"/>
        <w:gridCol w:w="27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44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c>
          <w:tcPr>
            <w:tcW w:w="139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2023年1-3月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447" w:type="pct"/>
            <w:shd w:val="pct10" w:color="auto" w:fill="auto"/>
          </w:tcPr>
          <w:p>
            <w:pPr>
              <w:jc w:val="right"/>
              <w:rPr>
                <w:rFonts w:ascii="宋体" w:hAnsi="宋体" w:eastAsia="宋体" w:cs="宋体"/>
                <w:kern w:val="0"/>
                <w:sz w:val="18"/>
                <w:szCs w:val="18"/>
              </w:rPr>
            </w:pPr>
          </w:p>
        </w:tc>
        <w:tc>
          <w:tcPr>
            <w:tcW w:w="1394"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447" w:type="pct"/>
            <w:shd w:val="pct10" w:color="auto" w:fill="FFFFFF"/>
          </w:tcPr>
          <w:p>
            <w:pPr>
              <w:jc w:val="right"/>
              <w:rPr>
                <w:rFonts w:ascii="宋体" w:hAnsi="宋体" w:eastAsia="宋体" w:cs="宋体"/>
                <w:b/>
                <w:kern w:val="0"/>
                <w:sz w:val="18"/>
                <w:szCs w:val="18"/>
              </w:rPr>
            </w:pPr>
          </w:p>
        </w:tc>
        <w:tc>
          <w:tcPr>
            <w:tcW w:w="1394"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447" w:type="pct"/>
            <w:shd w:val="pct10" w:color="auto" w:fill="FFFFFF"/>
          </w:tcPr>
          <w:p>
            <w:pPr>
              <w:jc w:val="right"/>
              <w:rPr>
                <w:rFonts w:ascii="宋体" w:hAnsi="宋体" w:eastAsia="宋体" w:cs="宋体"/>
                <w:b/>
                <w:kern w:val="0"/>
                <w:sz w:val="18"/>
                <w:szCs w:val="18"/>
              </w:rPr>
            </w:pPr>
          </w:p>
        </w:tc>
        <w:tc>
          <w:tcPr>
            <w:tcW w:w="1394"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447" w:type="pct"/>
            <w:shd w:val="pct10" w:color="auto" w:fill="auto"/>
          </w:tcPr>
          <w:p>
            <w:pPr>
              <w:jc w:val="right"/>
              <w:rPr>
                <w:rFonts w:ascii="宋体" w:hAnsi="宋体" w:eastAsia="宋体" w:cs="宋体"/>
                <w:kern w:val="0"/>
                <w:sz w:val="18"/>
                <w:szCs w:val="18"/>
              </w:rPr>
            </w:pPr>
          </w:p>
        </w:tc>
        <w:tc>
          <w:tcPr>
            <w:tcW w:w="1394"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母公司现金流量表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35"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42"/>
        <w:gridCol w:w="2882"/>
        <w:gridCol w:w="277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456"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2024年1-3月</w:t>
            </w:r>
          </w:p>
        </w:tc>
        <w:tc>
          <w:tcPr>
            <w:tcW w:w="1401"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2023年1-3月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456" w:type="pct"/>
            <w:shd w:val="pct10" w:color="auto" w:fill="FFFFFF"/>
          </w:tcPr>
          <w:p>
            <w:pPr>
              <w:widowControl/>
              <w:jc w:val="center"/>
              <w:rPr>
                <w:rFonts w:ascii="宋体" w:hAnsi="宋体" w:eastAsia="宋体" w:cs="宋体"/>
                <w:b/>
                <w:kern w:val="0"/>
                <w:sz w:val="18"/>
                <w:szCs w:val="21"/>
              </w:rPr>
            </w:pPr>
          </w:p>
        </w:tc>
        <w:tc>
          <w:tcPr>
            <w:tcW w:w="1401"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456" w:type="pct"/>
            <w:shd w:val="pct10" w:color="auto" w:fill="FFFFFF"/>
          </w:tcPr>
          <w:p>
            <w:pPr>
              <w:widowControl/>
              <w:jc w:val="center"/>
              <w:rPr>
                <w:rFonts w:ascii="宋体" w:hAnsi="宋体" w:eastAsia="宋体" w:cs="宋体"/>
                <w:b/>
                <w:kern w:val="0"/>
                <w:sz w:val="18"/>
                <w:szCs w:val="21"/>
              </w:rPr>
            </w:pPr>
          </w:p>
        </w:tc>
        <w:tc>
          <w:tcPr>
            <w:tcW w:w="1401"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bl>
    <w:p>
      <w:pPr>
        <w:widowControl/>
        <w:ind w:right="272"/>
        <w:jc w:val="left"/>
        <w:outlineLvl w:val="2"/>
      </w:pPr>
    </w:p>
    <w:sectPr>
      <w:footerReference r:id="rId5" w:type="default"/>
      <w:footerReference r:id="rId6" w:type="even"/>
      <w:pgSz w:w="11906" w:h="16838"/>
      <w:pgMar w:top="1440" w:right="184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script"/>
    <w:pitch w:val="default"/>
    <w:sig w:usb0="00000001" w:usb1="08000000" w:usb2="00000000" w:usb3="00000000" w:csb0="00040000" w:csb1="00000000"/>
  </w:font>
  <w:font w:name="FangSong">
    <w:altName w:val="方正仿宋_GBK"/>
    <w:panose1 w:val="00000000000000000000"/>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楷体_GB2312">
    <w:altName w:val="方正楷体_GBK"/>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MS Sans Serif">
    <w:altName w:val="Lohit Devanagari"/>
    <w:panose1 w:val="020B0500000000000000"/>
    <w:charset w:val="00"/>
    <w:family w:val="swiss"/>
    <w:pitch w:val="default"/>
    <w:sig w:usb0="00000000" w:usb1="00000000" w:usb2="00000000" w:usb3="00000000" w:csb0="00000001" w:csb1="00000000"/>
  </w:font>
  <w:font w:name="方正仿宋简体">
    <w:altName w:val="方正仿宋_GBK"/>
    <w:panose1 w:val="02010601030101010101"/>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2812"/>
      <w:docPartObj>
        <w:docPartGallery w:val="AutoText"/>
      </w:docPartObj>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65475"/>
      <w:docPartObj>
        <w:docPartGallery w:val="AutoText"/>
      </w:docPartObj>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935202"/>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19</w:t>
        </w:r>
        <w:r>
          <w:rPr>
            <w:rFonts w:ascii="宋体" w:hAnsi="宋体" w:eastAsia="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492286"/>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3138"/>
    <w:multiLevelType w:val="multilevel"/>
    <w:tmpl w:val="3AC43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FE0499"/>
    <w:multiLevelType w:val="multilevel"/>
    <w:tmpl w:val="5EFE0499"/>
    <w:lvl w:ilvl="0" w:tentative="0">
      <w:start w:val="1"/>
      <w:numFmt w:val="decimal"/>
      <w:lvlText w:val="%1."/>
      <w:lvlJc w:val="left"/>
      <w:pPr>
        <w:ind w:left="780" w:hanging="360"/>
      </w:pPr>
      <w:rPr>
        <w:rFonts w:hint="default" w:ascii="宋体" w:hAnsi="宋体"/>
        <w:b/>
        <w:color w:val="00000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9A77C3A"/>
    <w:multiLevelType w:val="multilevel"/>
    <w:tmpl w:val="69A77C3A"/>
    <w:lvl w:ilvl="0" w:tentative="0">
      <w:start w:val="1"/>
      <w:numFmt w:val="decimal"/>
      <w:lvlText w:val="%1、"/>
      <w:lvlJc w:val="left"/>
      <w:pPr>
        <w:ind w:left="324" w:hanging="32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hideSpellingErrors/>
  <w:attachedTemplate r:id="rId1"/>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280D"/>
    <w:rsid w:val="0001473E"/>
    <w:rsid w:val="00014EBA"/>
    <w:rsid w:val="0001719B"/>
    <w:rsid w:val="00017A56"/>
    <w:rsid w:val="00020005"/>
    <w:rsid w:val="0002545E"/>
    <w:rsid w:val="000271D0"/>
    <w:rsid w:val="000336A4"/>
    <w:rsid w:val="00033D15"/>
    <w:rsid w:val="00040EDE"/>
    <w:rsid w:val="0004243D"/>
    <w:rsid w:val="00042E57"/>
    <w:rsid w:val="0004489A"/>
    <w:rsid w:val="00045F87"/>
    <w:rsid w:val="00050379"/>
    <w:rsid w:val="000507B6"/>
    <w:rsid w:val="00051F06"/>
    <w:rsid w:val="00053D0D"/>
    <w:rsid w:val="000540C3"/>
    <w:rsid w:val="000550C2"/>
    <w:rsid w:val="000558F1"/>
    <w:rsid w:val="000561DC"/>
    <w:rsid w:val="00056B71"/>
    <w:rsid w:val="000573FF"/>
    <w:rsid w:val="0005757C"/>
    <w:rsid w:val="0006367D"/>
    <w:rsid w:val="000668B9"/>
    <w:rsid w:val="00067BBF"/>
    <w:rsid w:val="0007387A"/>
    <w:rsid w:val="00074A87"/>
    <w:rsid w:val="000804BC"/>
    <w:rsid w:val="00081F94"/>
    <w:rsid w:val="00083FF0"/>
    <w:rsid w:val="00084EB8"/>
    <w:rsid w:val="00086F1D"/>
    <w:rsid w:val="000943F6"/>
    <w:rsid w:val="000963FC"/>
    <w:rsid w:val="00096EC5"/>
    <w:rsid w:val="000A152B"/>
    <w:rsid w:val="000A25E7"/>
    <w:rsid w:val="000A38FD"/>
    <w:rsid w:val="000A40E6"/>
    <w:rsid w:val="000A60BE"/>
    <w:rsid w:val="000A6112"/>
    <w:rsid w:val="000A6BBF"/>
    <w:rsid w:val="000B0682"/>
    <w:rsid w:val="000B1EA6"/>
    <w:rsid w:val="000B2D31"/>
    <w:rsid w:val="000B3D69"/>
    <w:rsid w:val="000B76EA"/>
    <w:rsid w:val="000C45F3"/>
    <w:rsid w:val="000D03F4"/>
    <w:rsid w:val="000D085A"/>
    <w:rsid w:val="000D72E3"/>
    <w:rsid w:val="000E1697"/>
    <w:rsid w:val="000E714D"/>
    <w:rsid w:val="000F182F"/>
    <w:rsid w:val="000F30C9"/>
    <w:rsid w:val="000F41FB"/>
    <w:rsid w:val="000F4317"/>
    <w:rsid w:val="000F5803"/>
    <w:rsid w:val="001005AC"/>
    <w:rsid w:val="001045E2"/>
    <w:rsid w:val="00104B61"/>
    <w:rsid w:val="00114427"/>
    <w:rsid w:val="00115D44"/>
    <w:rsid w:val="0011653E"/>
    <w:rsid w:val="00120109"/>
    <w:rsid w:val="00120EF0"/>
    <w:rsid w:val="00121DF3"/>
    <w:rsid w:val="00124550"/>
    <w:rsid w:val="00124641"/>
    <w:rsid w:val="00126D36"/>
    <w:rsid w:val="00130F5E"/>
    <w:rsid w:val="00131598"/>
    <w:rsid w:val="00131F0A"/>
    <w:rsid w:val="00135B08"/>
    <w:rsid w:val="0014254D"/>
    <w:rsid w:val="001430D2"/>
    <w:rsid w:val="00143BA8"/>
    <w:rsid w:val="00143FC4"/>
    <w:rsid w:val="00150425"/>
    <w:rsid w:val="00152492"/>
    <w:rsid w:val="00152752"/>
    <w:rsid w:val="001530DD"/>
    <w:rsid w:val="00156E2F"/>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953A7"/>
    <w:rsid w:val="001964AF"/>
    <w:rsid w:val="001A0646"/>
    <w:rsid w:val="001A5FDE"/>
    <w:rsid w:val="001A785B"/>
    <w:rsid w:val="001B34BA"/>
    <w:rsid w:val="001B7BD0"/>
    <w:rsid w:val="001C1253"/>
    <w:rsid w:val="001C5D06"/>
    <w:rsid w:val="001C65F0"/>
    <w:rsid w:val="001C7497"/>
    <w:rsid w:val="001D05AE"/>
    <w:rsid w:val="001D12E7"/>
    <w:rsid w:val="001D6383"/>
    <w:rsid w:val="001E20CE"/>
    <w:rsid w:val="001E22F1"/>
    <w:rsid w:val="001E2B94"/>
    <w:rsid w:val="001E7A7B"/>
    <w:rsid w:val="001E7F8E"/>
    <w:rsid w:val="001F30EE"/>
    <w:rsid w:val="001F64F9"/>
    <w:rsid w:val="001F6C77"/>
    <w:rsid w:val="001F6F2A"/>
    <w:rsid w:val="0020272E"/>
    <w:rsid w:val="002029CF"/>
    <w:rsid w:val="00202A38"/>
    <w:rsid w:val="00202A8C"/>
    <w:rsid w:val="002056CE"/>
    <w:rsid w:val="00210F29"/>
    <w:rsid w:val="002129C0"/>
    <w:rsid w:val="00217A03"/>
    <w:rsid w:val="00226114"/>
    <w:rsid w:val="00226B4E"/>
    <w:rsid w:val="00227A0B"/>
    <w:rsid w:val="002300B5"/>
    <w:rsid w:val="002314A9"/>
    <w:rsid w:val="00233178"/>
    <w:rsid w:val="002355C8"/>
    <w:rsid w:val="0024353B"/>
    <w:rsid w:val="002457BA"/>
    <w:rsid w:val="002458B1"/>
    <w:rsid w:val="00253E88"/>
    <w:rsid w:val="00255CD0"/>
    <w:rsid w:val="00256708"/>
    <w:rsid w:val="002575E5"/>
    <w:rsid w:val="00257C2C"/>
    <w:rsid w:val="00257DDF"/>
    <w:rsid w:val="00260C63"/>
    <w:rsid w:val="00260D8A"/>
    <w:rsid w:val="00263A86"/>
    <w:rsid w:val="00264D48"/>
    <w:rsid w:val="00272685"/>
    <w:rsid w:val="00272A4B"/>
    <w:rsid w:val="0027379D"/>
    <w:rsid w:val="00274272"/>
    <w:rsid w:val="00276EE8"/>
    <w:rsid w:val="002834B7"/>
    <w:rsid w:val="002836E2"/>
    <w:rsid w:val="002865E6"/>
    <w:rsid w:val="00286D7E"/>
    <w:rsid w:val="00287296"/>
    <w:rsid w:val="002915DD"/>
    <w:rsid w:val="002916D0"/>
    <w:rsid w:val="002A34B8"/>
    <w:rsid w:val="002A7FB3"/>
    <w:rsid w:val="002B35F7"/>
    <w:rsid w:val="002B3B2E"/>
    <w:rsid w:val="002B4CDF"/>
    <w:rsid w:val="002B67FB"/>
    <w:rsid w:val="002C0883"/>
    <w:rsid w:val="002C1F52"/>
    <w:rsid w:val="002C25A3"/>
    <w:rsid w:val="002C2A41"/>
    <w:rsid w:val="002C4C2F"/>
    <w:rsid w:val="002D0B40"/>
    <w:rsid w:val="002D370C"/>
    <w:rsid w:val="002D62E4"/>
    <w:rsid w:val="002E0E26"/>
    <w:rsid w:val="002E1B34"/>
    <w:rsid w:val="002E7EC7"/>
    <w:rsid w:val="002F0E8E"/>
    <w:rsid w:val="002F1A97"/>
    <w:rsid w:val="002F3D12"/>
    <w:rsid w:val="002F4269"/>
    <w:rsid w:val="00300B88"/>
    <w:rsid w:val="00306951"/>
    <w:rsid w:val="00316F7B"/>
    <w:rsid w:val="00317D62"/>
    <w:rsid w:val="00317EE8"/>
    <w:rsid w:val="0032068E"/>
    <w:rsid w:val="00321182"/>
    <w:rsid w:val="00322CA3"/>
    <w:rsid w:val="00322DEE"/>
    <w:rsid w:val="00330AEB"/>
    <w:rsid w:val="0033280D"/>
    <w:rsid w:val="00332AD7"/>
    <w:rsid w:val="00347743"/>
    <w:rsid w:val="003506F5"/>
    <w:rsid w:val="00350C63"/>
    <w:rsid w:val="00350D4D"/>
    <w:rsid w:val="00354662"/>
    <w:rsid w:val="00363165"/>
    <w:rsid w:val="00363EA4"/>
    <w:rsid w:val="003643D1"/>
    <w:rsid w:val="0036686C"/>
    <w:rsid w:val="00366946"/>
    <w:rsid w:val="00372F75"/>
    <w:rsid w:val="003742C8"/>
    <w:rsid w:val="00376869"/>
    <w:rsid w:val="0037766B"/>
    <w:rsid w:val="00377DC5"/>
    <w:rsid w:val="00377DE4"/>
    <w:rsid w:val="00382FBC"/>
    <w:rsid w:val="0038473C"/>
    <w:rsid w:val="00385DDC"/>
    <w:rsid w:val="00390086"/>
    <w:rsid w:val="0039187F"/>
    <w:rsid w:val="00392D64"/>
    <w:rsid w:val="00394BF9"/>
    <w:rsid w:val="003962F2"/>
    <w:rsid w:val="003A23C2"/>
    <w:rsid w:val="003A2A3C"/>
    <w:rsid w:val="003A5E5F"/>
    <w:rsid w:val="003B272C"/>
    <w:rsid w:val="003B2E63"/>
    <w:rsid w:val="003B2EFB"/>
    <w:rsid w:val="003B6EB9"/>
    <w:rsid w:val="003C116C"/>
    <w:rsid w:val="003C1C29"/>
    <w:rsid w:val="003C29B1"/>
    <w:rsid w:val="003C3078"/>
    <w:rsid w:val="003C3296"/>
    <w:rsid w:val="003C4EB3"/>
    <w:rsid w:val="003D0876"/>
    <w:rsid w:val="003D12D2"/>
    <w:rsid w:val="003D2BB5"/>
    <w:rsid w:val="003D39E5"/>
    <w:rsid w:val="003D5A7B"/>
    <w:rsid w:val="003D6C85"/>
    <w:rsid w:val="003E6253"/>
    <w:rsid w:val="003F0684"/>
    <w:rsid w:val="003F284A"/>
    <w:rsid w:val="003F4146"/>
    <w:rsid w:val="004008DD"/>
    <w:rsid w:val="00400F8A"/>
    <w:rsid w:val="00402D43"/>
    <w:rsid w:val="00413313"/>
    <w:rsid w:val="00414CD3"/>
    <w:rsid w:val="00415DDF"/>
    <w:rsid w:val="00420573"/>
    <w:rsid w:val="00421F5B"/>
    <w:rsid w:val="00427669"/>
    <w:rsid w:val="00427930"/>
    <w:rsid w:val="00434B3C"/>
    <w:rsid w:val="00435718"/>
    <w:rsid w:val="004405B8"/>
    <w:rsid w:val="004452B3"/>
    <w:rsid w:val="00447496"/>
    <w:rsid w:val="0045321F"/>
    <w:rsid w:val="00455B19"/>
    <w:rsid w:val="00456943"/>
    <w:rsid w:val="004603AE"/>
    <w:rsid w:val="004607FB"/>
    <w:rsid w:val="0046128C"/>
    <w:rsid w:val="00471DD3"/>
    <w:rsid w:val="004727B1"/>
    <w:rsid w:val="004746BB"/>
    <w:rsid w:val="00475136"/>
    <w:rsid w:val="00475F3A"/>
    <w:rsid w:val="004777A6"/>
    <w:rsid w:val="00480EF0"/>
    <w:rsid w:val="00484408"/>
    <w:rsid w:val="004875A5"/>
    <w:rsid w:val="004A0A30"/>
    <w:rsid w:val="004A0D50"/>
    <w:rsid w:val="004A3CF3"/>
    <w:rsid w:val="004B2C9D"/>
    <w:rsid w:val="004B3BC1"/>
    <w:rsid w:val="004B5458"/>
    <w:rsid w:val="004B610F"/>
    <w:rsid w:val="004B706B"/>
    <w:rsid w:val="004C4199"/>
    <w:rsid w:val="004C53B5"/>
    <w:rsid w:val="004D02FA"/>
    <w:rsid w:val="004D1C0B"/>
    <w:rsid w:val="004D2457"/>
    <w:rsid w:val="004D4C46"/>
    <w:rsid w:val="004D7D4E"/>
    <w:rsid w:val="004E0B44"/>
    <w:rsid w:val="004E0CCF"/>
    <w:rsid w:val="004E4567"/>
    <w:rsid w:val="004E5EFB"/>
    <w:rsid w:val="004E6BF8"/>
    <w:rsid w:val="004E7E33"/>
    <w:rsid w:val="004F037F"/>
    <w:rsid w:val="004F20D1"/>
    <w:rsid w:val="00500BCB"/>
    <w:rsid w:val="00500C10"/>
    <w:rsid w:val="00500EC1"/>
    <w:rsid w:val="00515704"/>
    <w:rsid w:val="00522145"/>
    <w:rsid w:val="005259F6"/>
    <w:rsid w:val="00525DF0"/>
    <w:rsid w:val="00530C3E"/>
    <w:rsid w:val="00532987"/>
    <w:rsid w:val="0053407F"/>
    <w:rsid w:val="00535B76"/>
    <w:rsid w:val="005369D4"/>
    <w:rsid w:val="005372F0"/>
    <w:rsid w:val="00537A8D"/>
    <w:rsid w:val="005417C3"/>
    <w:rsid w:val="005428F2"/>
    <w:rsid w:val="005433FB"/>
    <w:rsid w:val="0054556B"/>
    <w:rsid w:val="005479EA"/>
    <w:rsid w:val="00551201"/>
    <w:rsid w:val="00553FD9"/>
    <w:rsid w:val="00556D77"/>
    <w:rsid w:val="00557932"/>
    <w:rsid w:val="00560EDC"/>
    <w:rsid w:val="00562AC0"/>
    <w:rsid w:val="00563487"/>
    <w:rsid w:val="00565FB3"/>
    <w:rsid w:val="005671D0"/>
    <w:rsid w:val="00567BF4"/>
    <w:rsid w:val="00570428"/>
    <w:rsid w:val="00571080"/>
    <w:rsid w:val="0057527C"/>
    <w:rsid w:val="00575365"/>
    <w:rsid w:val="005847DA"/>
    <w:rsid w:val="00586D7A"/>
    <w:rsid w:val="005913F5"/>
    <w:rsid w:val="00591FC0"/>
    <w:rsid w:val="00593544"/>
    <w:rsid w:val="005941BD"/>
    <w:rsid w:val="00594D0B"/>
    <w:rsid w:val="005953CD"/>
    <w:rsid w:val="00595A0A"/>
    <w:rsid w:val="00596BC7"/>
    <w:rsid w:val="00597A37"/>
    <w:rsid w:val="005A07CD"/>
    <w:rsid w:val="005A0C31"/>
    <w:rsid w:val="005A1B56"/>
    <w:rsid w:val="005A1DE9"/>
    <w:rsid w:val="005A2AE0"/>
    <w:rsid w:val="005A2C15"/>
    <w:rsid w:val="005A3099"/>
    <w:rsid w:val="005A38CE"/>
    <w:rsid w:val="005A4F19"/>
    <w:rsid w:val="005A6042"/>
    <w:rsid w:val="005B00D2"/>
    <w:rsid w:val="005B20F4"/>
    <w:rsid w:val="005B25D4"/>
    <w:rsid w:val="005B4A37"/>
    <w:rsid w:val="005B611A"/>
    <w:rsid w:val="005B6922"/>
    <w:rsid w:val="005B742C"/>
    <w:rsid w:val="005B7A5D"/>
    <w:rsid w:val="005C0F8B"/>
    <w:rsid w:val="005C4AEB"/>
    <w:rsid w:val="005C4C94"/>
    <w:rsid w:val="005D3326"/>
    <w:rsid w:val="005D4DBD"/>
    <w:rsid w:val="005F03E7"/>
    <w:rsid w:val="005F38B1"/>
    <w:rsid w:val="005F6230"/>
    <w:rsid w:val="005F6553"/>
    <w:rsid w:val="00610165"/>
    <w:rsid w:val="00610E75"/>
    <w:rsid w:val="006159FC"/>
    <w:rsid w:val="00622926"/>
    <w:rsid w:val="0062340C"/>
    <w:rsid w:val="0062527D"/>
    <w:rsid w:val="0062548A"/>
    <w:rsid w:val="006279D0"/>
    <w:rsid w:val="00636C60"/>
    <w:rsid w:val="006379FA"/>
    <w:rsid w:val="00637D27"/>
    <w:rsid w:val="006401F9"/>
    <w:rsid w:val="0064165E"/>
    <w:rsid w:val="0064279C"/>
    <w:rsid w:val="006450B4"/>
    <w:rsid w:val="0064538F"/>
    <w:rsid w:val="00650260"/>
    <w:rsid w:val="00650FA6"/>
    <w:rsid w:val="0065162B"/>
    <w:rsid w:val="00651B88"/>
    <w:rsid w:val="00655FEB"/>
    <w:rsid w:val="006618A5"/>
    <w:rsid w:val="00663371"/>
    <w:rsid w:val="00666608"/>
    <w:rsid w:val="00666C55"/>
    <w:rsid w:val="00667E29"/>
    <w:rsid w:val="00670E01"/>
    <w:rsid w:val="00674E59"/>
    <w:rsid w:val="00676627"/>
    <w:rsid w:val="00676AEA"/>
    <w:rsid w:val="00680D03"/>
    <w:rsid w:val="00681F3B"/>
    <w:rsid w:val="0068247B"/>
    <w:rsid w:val="006826F1"/>
    <w:rsid w:val="00682867"/>
    <w:rsid w:val="00683DE5"/>
    <w:rsid w:val="00691FC3"/>
    <w:rsid w:val="006B0482"/>
    <w:rsid w:val="006B08E5"/>
    <w:rsid w:val="006B26F8"/>
    <w:rsid w:val="006B3706"/>
    <w:rsid w:val="006B3E7D"/>
    <w:rsid w:val="006B6614"/>
    <w:rsid w:val="006B6A52"/>
    <w:rsid w:val="006C0811"/>
    <w:rsid w:val="006C4396"/>
    <w:rsid w:val="006C5291"/>
    <w:rsid w:val="006C67F6"/>
    <w:rsid w:val="006C721B"/>
    <w:rsid w:val="006D047B"/>
    <w:rsid w:val="006D3FDA"/>
    <w:rsid w:val="006D441A"/>
    <w:rsid w:val="006D5FAD"/>
    <w:rsid w:val="006D67A1"/>
    <w:rsid w:val="006D7FEC"/>
    <w:rsid w:val="006E07E8"/>
    <w:rsid w:val="006E1278"/>
    <w:rsid w:val="006E41F3"/>
    <w:rsid w:val="006E5FFC"/>
    <w:rsid w:val="006E615B"/>
    <w:rsid w:val="006E7CDA"/>
    <w:rsid w:val="006F3372"/>
    <w:rsid w:val="00700486"/>
    <w:rsid w:val="00703810"/>
    <w:rsid w:val="00704979"/>
    <w:rsid w:val="00704A41"/>
    <w:rsid w:val="00705445"/>
    <w:rsid w:val="007060E1"/>
    <w:rsid w:val="00710364"/>
    <w:rsid w:val="00710533"/>
    <w:rsid w:val="00712B21"/>
    <w:rsid w:val="00712D5A"/>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7FE"/>
    <w:rsid w:val="00762D66"/>
    <w:rsid w:val="00767079"/>
    <w:rsid w:val="007700F3"/>
    <w:rsid w:val="00770FF2"/>
    <w:rsid w:val="00772744"/>
    <w:rsid w:val="00774C89"/>
    <w:rsid w:val="00777A9F"/>
    <w:rsid w:val="00777FA5"/>
    <w:rsid w:val="00782804"/>
    <w:rsid w:val="00784156"/>
    <w:rsid w:val="00784BC2"/>
    <w:rsid w:val="007855F0"/>
    <w:rsid w:val="0078631E"/>
    <w:rsid w:val="00786C0C"/>
    <w:rsid w:val="00787CC7"/>
    <w:rsid w:val="007970EA"/>
    <w:rsid w:val="00797620"/>
    <w:rsid w:val="007A0A6D"/>
    <w:rsid w:val="007A3EC9"/>
    <w:rsid w:val="007A6D14"/>
    <w:rsid w:val="007A6F85"/>
    <w:rsid w:val="007B0053"/>
    <w:rsid w:val="007B10ED"/>
    <w:rsid w:val="007B2088"/>
    <w:rsid w:val="007B3C16"/>
    <w:rsid w:val="007C1E0B"/>
    <w:rsid w:val="007C559C"/>
    <w:rsid w:val="007C60CE"/>
    <w:rsid w:val="007D2088"/>
    <w:rsid w:val="007D4A20"/>
    <w:rsid w:val="007D4EBC"/>
    <w:rsid w:val="007E6863"/>
    <w:rsid w:val="007E7B27"/>
    <w:rsid w:val="007F1AA4"/>
    <w:rsid w:val="007F28DB"/>
    <w:rsid w:val="007F40B7"/>
    <w:rsid w:val="007F484A"/>
    <w:rsid w:val="007F5BD6"/>
    <w:rsid w:val="007F7ABB"/>
    <w:rsid w:val="008038BD"/>
    <w:rsid w:val="008058C3"/>
    <w:rsid w:val="00807F86"/>
    <w:rsid w:val="00811C54"/>
    <w:rsid w:val="008120A0"/>
    <w:rsid w:val="0082053D"/>
    <w:rsid w:val="008232DE"/>
    <w:rsid w:val="008274BD"/>
    <w:rsid w:val="00827FA7"/>
    <w:rsid w:val="00827FC6"/>
    <w:rsid w:val="00831197"/>
    <w:rsid w:val="00832223"/>
    <w:rsid w:val="00832FCD"/>
    <w:rsid w:val="00835E74"/>
    <w:rsid w:val="00837AEA"/>
    <w:rsid w:val="008401D5"/>
    <w:rsid w:val="00841F8F"/>
    <w:rsid w:val="008436A5"/>
    <w:rsid w:val="00843939"/>
    <w:rsid w:val="00850229"/>
    <w:rsid w:val="00851AC2"/>
    <w:rsid w:val="00852F19"/>
    <w:rsid w:val="00853951"/>
    <w:rsid w:val="00853A08"/>
    <w:rsid w:val="00856E80"/>
    <w:rsid w:val="00860C36"/>
    <w:rsid w:val="0086309D"/>
    <w:rsid w:val="008671B2"/>
    <w:rsid w:val="00876684"/>
    <w:rsid w:val="008771BD"/>
    <w:rsid w:val="00880908"/>
    <w:rsid w:val="00882C01"/>
    <w:rsid w:val="0088309A"/>
    <w:rsid w:val="00884290"/>
    <w:rsid w:val="00891F70"/>
    <w:rsid w:val="00896C27"/>
    <w:rsid w:val="0089798F"/>
    <w:rsid w:val="00897B59"/>
    <w:rsid w:val="008A1432"/>
    <w:rsid w:val="008A26E7"/>
    <w:rsid w:val="008A2868"/>
    <w:rsid w:val="008A2E3C"/>
    <w:rsid w:val="008A43EA"/>
    <w:rsid w:val="008A625B"/>
    <w:rsid w:val="008B03EC"/>
    <w:rsid w:val="008B1EF7"/>
    <w:rsid w:val="008B30BC"/>
    <w:rsid w:val="008B54E0"/>
    <w:rsid w:val="008B5B7C"/>
    <w:rsid w:val="008C3C59"/>
    <w:rsid w:val="008C43BC"/>
    <w:rsid w:val="008C4BF5"/>
    <w:rsid w:val="008C4C40"/>
    <w:rsid w:val="008C7851"/>
    <w:rsid w:val="008D1B86"/>
    <w:rsid w:val="008E2FA8"/>
    <w:rsid w:val="008E4549"/>
    <w:rsid w:val="008E4A33"/>
    <w:rsid w:val="008E6109"/>
    <w:rsid w:val="008E6DEC"/>
    <w:rsid w:val="008E713A"/>
    <w:rsid w:val="008E7D2B"/>
    <w:rsid w:val="008F091B"/>
    <w:rsid w:val="008F1D05"/>
    <w:rsid w:val="008F25A1"/>
    <w:rsid w:val="008F3317"/>
    <w:rsid w:val="008F59F1"/>
    <w:rsid w:val="008F73B9"/>
    <w:rsid w:val="00900427"/>
    <w:rsid w:val="00905CC0"/>
    <w:rsid w:val="00905DE4"/>
    <w:rsid w:val="00906B7E"/>
    <w:rsid w:val="00910B87"/>
    <w:rsid w:val="00912777"/>
    <w:rsid w:val="009146E7"/>
    <w:rsid w:val="00917325"/>
    <w:rsid w:val="0092189B"/>
    <w:rsid w:val="00921D6F"/>
    <w:rsid w:val="0092589C"/>
    <w:rsid w:val="00931E9E"/>
    <w:rsid w:val="00933B74"/>
    <w:rsid w:val="009347EE"/>
    <w:rsid w:val="00934D19"/>
    <w:rsid w:val="009378CC"/>
    <w:rsid w:val="00943B41"/>
    <w:rsid w:val="00943FFB"/>
    <w:rsid w:val="00946176"/>
    <w:rsid w:val="00946BE3"/>
    <w:rsid w:val="0094788F"/>
    <w:rsid w:val="009525DC"/>
    <w:rsid w:val="009605BE"/>
    <w:rsid w:val="00961451"/>
    <w:rsid w:val="009648BA"/>
    <w:rsid w:val="00964DAA"/>
    <w:rsid w:val="0096659B"/>
    <w:rsid w:val="00970DD9"/>
    <w:rsid w:val="00971119"/>
    <w:rsid w:val="00972AE7"/>
    <w:rsid w:val="009755CA"/>
    <w:rsid w:val="00976465"/>
    <w:rsid w:val="009777B3"/>
    <w:rsid w:val="0098462C"/>
    <w:rsid w:val="00984C85"/>
    <w:rsid w:val="0099040E"/>
    <w:rsid w:val="009908DA"/>
    <w:rsid w:val="009920D5"/>
    <w:rsid w:val="009935D2"/>
    <w:rsid w:val="009939F3"/>
    <w:rsid w:val="00997278"/>
    <w:rsid w:val="009979A6"/>
    <w:rsid w:val="009A24C1"/>
    <w:rsid w:val="009A3537"/>
    <w:rsid w:val="009A5B44"/>
    <w:rsid w:val="009A5FDA"/>
    <w:rsid w:val="009A6795"/>
    <w:rsid w:val="009B02F1"/>
    <w:rsid w:val="009B256C"/>
    <w:rsid w:val="009B26DC"/>
    <w:rsid w:val="009B27E8"/>
    <w:rsid w:val="009B2A64"/>
    <w:rsid w:val="009B7882"/>
    <w:rsid w:val="009C34FC"/>
    <w:rsid w:val="009C3B90"/>
    <w:rsid w:val="009C5C1D"/>
    <w:rsid w:val="009D5492"/>
    <w:rsid w:val="009E48CA"/>
    <w:rsid w:val="009E60C0"/>
    <w:rsid w:val="009E6DCC"/>
    <w:rsid w:val="009F0526"/>
    <w:rsid w:val="009F15BE"/>
    <w:rsid w:val="009F1DEE"/>
    <w:rsid w:val="009F7808"/>
    <w:rsid w:val="00A00442"/>
    <w:rsid w:val="00A02A4F"/>
    <w:rsid w:val="00A04FD8"/>
    <w:rsid w:val="00A05DDE"/>
    <w:rsid w:val="00A219EC"/>
    <w:rsid w:val="00A25344"/>
    <w:rsid w:val="00A266A1"/>
    <w:rsid w:val="00A304B5"/>
    <w:rsid w:val="00A322CE"/>
    <w:rsid w:val="00A324A3"/>
    <w:rsid w:val="00A33D4B"/>
    <w:rsid w:val="00A3592F"/>
    <w:rsid w:val="00A37AFC"/>
    <w:rsid w:val="00A42084"/>
    <w:rsid w:val="00A525C8"/>
    <w:rsid w:val="00A54EB7"/>
    <w:rsid w:val="00A6308F"/>
    <w:rsid w:val="00A67029"/>
    <w:rsid w:val="00A70C18"/>
    <w:rsid w:val="00A718EC"/>
    <w:rsid w:val="00A71AF9"/>
    <w:rsid w:val="00A72017"/>
    <w:rsid w:val="00A73A70"/>
    <w:rsid w:val="00A74B71"/>
    <w:rsid w:val="00A769FC"/>
    <w:rsid w:val="00A76B85"/>
    <w:rsid w:val="00A77119"/>
    <w:rsid w:val="00A771D7"/>
    <w:rsid w:val="00A80006"/>
    <w:rsid w:val="00A81010"/>
    <w:rsid w:val="00A8330A"/>
    <w:rsid w:val="00A83B24"/>
    <w:rsid w:val="00A83BAD"/>
    <w:rsid w:val="00A8425B"/>
    <w:rsid w:val="00A85212"/>
    <w:rsid w:val="00A854B3"/>
    <w:rsid w:val="00A869FE"/>
    <w:rsid w:val="00A951F0"/>
    <w:rsid w:val="00AA5539"/>
    <w:rsid w:val="00AA74D6"/>
    <w:rsid w:val="00AB0A1A"/>
    <w:rsid w:val="00AB267A"/>
    <w:rsid w:val="00AB5B12"/>
    <w:rsid w:val="00AB75E4"/>
    <w:rsid w:val="00AC11CA"/>
    <w:rsid w:val="00AC1DFE"/>
    <w:rsid w:val="00AC5DFC"/>
    <w:rsid w:val="00AC6AAF"/>
    <w:rsid w:val="00AD03A1"/>
    <w:rsid w:val="00AD5B90"/>
    <w:rsid w:val="00AD7049"/>
    <w:rsid w:val="00AE5541"/>
    <w:rsid w:val="00AF1AFE"/>
    <w:rsid w:val="00AF1D6E"/>
    <w:rsid w:val="00AF1F18"/>
    <w:rsid w:val="00AF3522"/>
    <w:rsid w:val="00AF4F86"/>
    <w:rsid w:val="00AF5654"/>
    <w:rsid w:val="00AF61BB"/>
    <w:rsid w:val="00AF6A42"/>
    <w:rsid w:val="00AF71E5"/>
    <w:rsid w:val="00B015A9"/>
    <w:rsid w:val="00B0246D"/>
    <w:rsid w:val="00B04083"/>
    <w:rsid w:val="00B0427A"/>
    <w:rsid w:val="00B0457A"/>
    <w:rsid w:val="00B04DD0"/>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47912"/>
    <w:rsid w:val="00B50853"/>
    <w:rsid w:val="00B52E9F"/>
    <w:rsid w:val="00B5326B"/>
    <w:rsid w:val="00B535BC"/>
    <w:rsid w:val="00B53F9D"/>
    <w:rsid w:val="00B57829"/>
    <w:rsid w:val="00B62403"/>
    <w:rsid w:val="00B65041"/>
    <w:rsid w:val="00B66434"/>
    <w:rsid w:val="00B6776A"/>
    <w:rsid w:val="00B70C46"/>
    <w:rsid w:val="00B7304D"/>
    <w:rsid w:val="00B77AEE"/>
    <w:rsid w:val="00B77C56"/>
    <w:rsid w:val="00B77C73"/>
    <w:rsid w:val="00B77D94"/>
    <w:rsid w:val="00B81E02"/>
    <w:rsid w:val="00B82C66"/>
    <w:rsid w:val="00B832ED"/>
    <w:rsid w:val="00B8635F"/>
    <w:rsid w:val="00B87202"/>
    <w:rsid w:val="00B90081"/>
    <w:rsid w:val="00B92CD0"/>
    <w:rsid w:val="00B94B87"/>
    <w:rsid w:val="00B96816"/>
    <w:rsid w:val="00B977FD"/>
    <w:rsid w:val="00BA1418"/>
    <w:rsid w:val="00BA5D86"/>
    <w:rsid w:val="00BA5DEB"/>
    <w:rsid w:val="00BA787D"/>
    <w:rsid w:val="00BB09BA"/>
    <w:rsid w:val="00BC2634"/>
    <w:rsid w:val="00BC382D"/>
    <w:rsid w:val="00BC4C47"/>
    <w:rsid w:val="00BD288C"/>
    <w:rsid w:val="00BD52D0"/>
    <w:rsid w:val="00BE05C1"/>
    <w:rsid w:val="00BE1981"/>
    <w:rsid w:val="00BE2771"/>
    <w:rsid w:val="00BE57D4"/>
    <w:rsid w:val="00BE6BC4"/>
    <w:rsid w:val="00BE76FE"/>
    <w:rsid w:val="00BF0924"/>
    <w:rsid w:val="00BF4656"/>
    <w:rsid w:val="00BF56BA"/>
    <w:rsid w:val="00BF759A"/>
    <w:rsid w:val="00C03B92"/>
    <w:rsid w:val="00C03BC0"/>
    <w:rsid w:val="00C03D80"/>
    <w:rsid w:val="00C04A46"/>
    <w:rsid w:val="00C05974"/>
    <w:rsid w:val="00C05E6C"/>
    <w:rsid w:val="00C07C52"/>
    <w:rsid w:val="00C07DC5"/>
    <w:rsid w:val="00C11F7A"/>
    <w:rsid w:val="00C12953"/>
    <w:rsid w:val="00C14816"/>
    <w:rsid w:val="00C2135D"/>
    <w:rsid w:val="00C23F77"/>
    <w:rsid w:val="00C2500C"/>
    <w:rsid w:val="00C25676"/>
    <w:rsid w:val="00C258FF"/>
    <w:rsid w:val="00C26DA2"/>
    <w:rsid w:val="00C27B03"/>
    <w:rsid w:val="00C3061B"/>
    <w:rsid w:val="00C328E5"/>
    <w:rsid w:val="00C32936"/>
    <w:rsid w:val="00C36567"/>
    <w:rsid w:val="00C373D3"/>
    <w:rsid w:val="00C41DE3"/>
    <w:rsid w:val="00C4450D"/>
    <w:rsid w:val="00C53706"/>
    <w:rsid w:val="00C557A7"/>
    <w:rsid w:val="00C55CDB"/>
    <w:rsid w:val="00C56D48"/>
    <w:rsid w:val="00C57604"/>
    <w:rsid w:val="00C648A0"/>
    <w:rsid w:val="00C65A74"/>
    <w:rsid w:val="00C65A79"/>
    <w:rsid w:val="00C70B13"/>
    <w:rsid w:val="00C71759"/>
    <w:rsid w:val="00C71D7A"/>
    <w:rsid w:val="00C80993"/>
    <w:rsid w:val="00C81DCF"/>
    <w:rsid w:val="00C82184"/>
    <w:rsid w:val="00C8343F"/>
    <w:rsid w:val="00C83627"/>
    <w:rsid w:val="00C83681"/>
    <w:rsid w:val="00C8583C"/>
    <w:rsid w:val="00C859C8"/>
    <w:rsid w:val="00C868F8"/>
    <w:rsid w:val="00C86BC3"/>
    <w:rsid w:val="00C96791"/>
    <w:rsid w:val="00CA22FD"/>
    <w:rsid w:val="00CA4D98"/>
    <w:rsid w:val="00CA53DB"/>
    <w:rsid w:val="00CB0537"/>
    <w:rsid w:val="00CB1DB9"/>
    <w:rsid w:val="00CB216E"/>
    <w:rsid w:val="00CB2907"/>
    <w:rsid w:val="00CB304E"/>
    <w:rsid w:val="00CB7CF3"/>
    <w:rsid w:val="00CC23CD"/>
    <w:rsid w:val="00CC7832"/>
    <w:rsid w:val="00CD04A8"/>
    <w:rsid w:val="00CD05E6"/>
    <w:rsid w:val="00CD20BE"/>
    <w:rsid w:val="00CD228B"/>
    <w:rsid w:val="00CD296A"/>
    <w:rsid w:val="00CD5B8F"/>
    <w:rsid w:val="00CE11C7"/>
    <w:rsid w:val="00CE174E"/>
    <w:rsid w:val="00CE3F3D"/>
    <w:rsid w:val="00CE421D"/>
    <w:rsid w:val="00CE6315"/>
    <w:rsid w:val="00CE6791"/>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50BF"/>
    <w:rsid w:val="00D26A9D"/>
    <w:rsid w:val="00D27BF1"/>
    <w:rsid w:val="00D318E0"/>
    <w:rsid w:val="00D34069"/>
    <w:rsid w:val="00D36234"/>
    <w:rsid w:val="00D41D1D"/>
    <w:rsid w:val="00D41ED4"/>
    <w:rsid w:val="00D4400A"/>
    <w:rsid w:val="00D447A5"/>
    <w:rsid w:val="00D44AC8"/>
    <w:rsid w:val="00D50306"/>
    <w:rsid w:val="00D50E34"/>
    <w:rsid w:val="00D573F2"/>
    <w:rsid w:val="00D62F79"/>
    <w:rsid w:val="00D6496D"/>
    <w:rsid w:val="00D65414"/>
    <w:rsid w:val="00D666BE"/>
    <w:rsid w:val="00D66D60"/>
    <w:rsid w:val="00D66E50"/>
    <w:rsid w:val="00D672AC"/>
    <w:rsid w:val="00D75504"/>
    <w:rsid w:val="00D84980"/>
    <w:rsid w:val="00D84FFF"/>
    <w:rsid w:val="00D8686F"/>
    <w:rsid w:val="00D87773"/>
    <w:rsid w:val="00D90890"/>
    <w:rsid w:val="00D921B1"/>
    <w:rsid w:val="00D94DBD"/>
    <w:rsid w:val="00D9721A"/>
    <w:rsid w:val="00D97476"/>
    <w:rsid w:val="00DA0D72"/>
    <w:rsid w:val="00DA55D2"/>
    <w:rsid w:val="00DA6EDD"/>
    <w:rsid w:val="00DB315F"/>
    <w:rsid w:val="00DC29A4"/>
    <w:rsid w:val="00DC3AA0"/>
    <w:rsid w:val="00DC4416"/>
    <w:rsid w:val="00DD15C3"/>
    <w:rsid w:val="00DD3D14"/>
    <w:rsid w:val="00DD5F99"/>
    <w:rsid w:val="00DD655E"/>
    <w:rsid w:val="00DE3348"/>
    <w:rsid w:val="00DE4D89"/>
    <w:rsid w:val="00DE5D43"/>
    <w:rsid w:val="00DF054B"/>
    <w:rsid w:val="00DF1E84"/>
    <w:rsid w:val="00DF21D7"/>
    <w:rsid w:val="00DF42B7"/>
    <w:rsid w:val="00DF65ED"/>
    <w:rsid w:val="00DF7D83"/>
    <w:rsid w:val="00E0047A"/>
    <w:rsid w:val="00E03727"/>
    <w:rsid w:val="00E05439"/>
    <w:rsid w:val="00E10A6E"/>
    <w:rsid w:val="00E1454F"/>
    <w:rsid w:val="00E146B6"/>
    <w:rsid w:val="00E160B0"/>
    <w:rsid w:val="00E175F3"/>
    <w:rsid w:val="00E22626"/>
    <w:rsid w:val="00E24CF2"/>
    <w:rsid w:val="00E251B0"/>
    <w:rsid w:val="00E27E5C"/>
    <w:rsid w:val="00E32BEA"/>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161B"/>
    <w:rsid w:val="00E73859"/>
    <w:rsid w:val="00E77275"/>
    <w:rsid w:val="00E7736D"/>
    <w:rsid w:val="00E84604"/>
    <w:rsid w:val="00E84BC0"/>
    <w:rsid w:val="00E84BEB"/>
    <w:rsid w:val="00E86438"/>
    <w:rsid w:val="00E87D74"/>
    <w:rsid w:val="00E90C1B"/>
    <w:rsid w:val="00E92E42"/>
    <w:rsid w:val="00E93305"/>
    <w:rsid w:val="00E95617"/>
    <w:rsid w:val="00E970E3"/>
    <w:rsid w:val="00E97C63"/>
    <w:rsid w:val="00EA0D80"/>
    <w:rsid w:val="00EA1BA4"/>
    <w:rsid w:val="00EA5F2B"/>
    <w:rsid w:val="00EB2E43"/>
    <w:rsid w:val="00EB44E5"/>
    <w:rsid w:val="00EB4D08"/>
    <w:rsid w:val="00EB5FE5"/>
    <w:rsid w:val="00EC254D"/>
    <w:rsid w:val="00EC29A2"/>
    <w:rsid w:val="00EC334B"/>
    <w:rsid w:val="00EC6E87"/>
    <w:rsid w:val="00EC763E"/>
    <w:rsid w:val="00ED0FF9"/>
    <w:rsid w:val="00ED2C03"/>
    <w:rsid w:val="00ED3FA5"/>
    <w:rsid w:val="00EE07B7"/>
    <w:rsid w:val="00EE09AC"/>
    <w:rsid w:val="00EE1D98"/>
    <w:rsid w:val="00EE6492"/>
    <w:rsid w:val="00EE7689"/>
    <w:rsid w:val="00EE7CDF"/>
    <w:rsid w:val="00EF0838"/>
    <w:rsid w:val="00EF12F4"/>
    <w:rsid w:val="00EF346E"/>
    <w:rsid w:val="00EF57ED"/>
    <w:rsid w:val="00EF7166"/>
    <w:rsid w:val="00F00094"/>
    <w:rsid w:val="00F037D1"/>
    <w:rsid w:val="00F040B7"/>
    <w:rsid w:val="00F061C6"/>
    <w:rsid w:val="00F0668D"/>
    <w:rsid w:val="00F079C3"/>
    <w:rsid w:val="00F111F5"/>
    <w:rsid w:val="00F12997"/>
    <w:rsid w:val="00F1652B"/>
    <w:rsid w:val="00F16EF9"/>
    <w:rsid w:val="00F17785"/>
    <w:rsid w:val="00F201E2"/>
    <w:rsid w:val="00F2512E"/>
    <w:rsid w:val="00F25206"/>
    <w:rsid w:val="00F253A5"/>
    <w:rsid w:val="00F27A41"/>
    <w:rsid w:val="00F27CBF"/>
    <w:rsid w:val="00F3213D"/>
    <w:rsid w:val="00F32183"/>
    <w:rsid w:val="00F3377A"/>
    <w:rsid w:val="00F36378"/>
    <w:rsid w:val="00F42789"/>
    <w:rsid w:val="00F44698"/>
    <w:rsid w:val="00F4578F"/>
    <w:rsid w:val="00F467A3"/>
    <w:rsid w:val="00F51C83"/>
    <w:rsid w:val="00F55797"/>
    <w:rsid w:val="00F6231A"/>
    <w:rsid w:val="00F67771"/>
    <w:rsid w:val="00F73312"/>
    <w:rsid w:val="00F84A6C"/>
    <w:rsid w:val="00F85F62"/>
    <w:rsid w:val="00F900D2"/>
    <w:rsid w:val="00F938C6"/>
    <w:rsid w:val="00F93ED0"/>
    <w:rsid w:val="00FA3967"/>
    <w:rsid w:val="00FA4272"/>
    <w:rsid w:val="00FA6570"/>
    <w:rsid w:val="00FA69AE"/>
    <w:rsid w:val="00FA703D"/>
    <w:rsid w:val="00FA71A8"/>
    <w:rsid w:val="00FA7EF5"/>
    <w:rsid w:val="00FB3209"/>
    <w:rsid w:val="00FC02DB"/>
    <w:rsid w:val="00FC4285"/>
    <w:rsid w:val="00FC4433"/>
    <w:rsid w:val="00FC45A0"/>
    <w:rsid w:val="00FC6ABB"/>
    <w:rsid w:val="00FD0D99"/>
    <w:rsid w:val="00FD133A"/>
    <w:rsid w:val="00FD185C"/>
    <w:rsid w:val="00FD1898"/>
    <w:rsid w:val="00FE03D5"/>
    <w:rsid w:val="00FE0472"/>
    <w:rsid w:val="00FE0AE8"/>
    <w:rsid w:val="00FE125B"/>
    <w:rsid w:val="00FE37FE"/>
    <w:rsid w:val="00FE79A5"/>
    <w:rsid w:val="00FF0E15"/>
    <w:rsid w:val="00FF30CD"/>
    <w:rsid w:val="00FF4B9F"/>
    <w:rsid w:val="00FF53E0"/>
    <w:rsid w:val="00FF7DB0"/>
    <w:rsid w:val="1D7D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rFonts w:ascii="Calibri" w:hAnsi="Calibri" w:eastAsia="宋体" w:cs="Times New Roman"/>
      <w:b/>
      <w:bCs/>
      <w:kern w:val="44"/>
      <w:sz w:val="44"/>
      <w:szCs w:val="44"/>
      <w:lang w:val="zh-CN" w:eastAsia="zh-CN"/>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lang w:val="zh-CN" w:eastAsia="zh-CN"/>
    </w:rPr>
  </w:style>
  <w:style w:type="paragraph" w:styleId="6">
    <w:name w:val="heading 5"/>
    <w:basedOn w:val="1"/>
    <w:next w:val="1"/>
    <w:link w:val="122"/>
    <w:semiHidden/>
    <w:unhideWhenUsed/>
    <w:qFormat/>
    <w:uiPriority w:val="9"/>
    <w:pPr>
      <w:keepNext/>
      <w:keepLines/>
      <w:spacing w:before="280" w:after="290" w:line="376" w:lineRule="auto"/>
      <w:outlineLvl w:val="4"/>
    </w:pPr>
    <w:rPr>
      <w:b/>
      <w:bCs/>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8">
    <w:name w:val="Note Heading"/>
    <w:basedOn w:val="1"/>
    <w:next w:val="1"/>
    <w:link w:val="78"/>
    <w:qFormat/>
    <w:uiPriority w:val="0"/>
    <w:pPr>
      <w:jc w:val="center"/>
    </w:pPr>
    <w:rPr>
      <w:rFonts w:ascii="Times New Roman" w:hAnsi="Times New Roman" w:eastAsia="宋体" w:cs="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eastAsia="宋体" w:cs="Times New Roman"/>
      <w:szCs w:val="21"/>
    </w:rPr>
  </w:style>
  <w:style w:type="paragraph" w:styleId="10">
    <w:name w:val="List Number"/>
    <w:basedOn w:val="1"/>
    <w:qFormat/>
    <w:uiPriority w:val="0"/>
    <w:pPr>
      <w:tabs>
        <w:tab w:val="left" w:pos="360"/>
      </w:tabs>
      <w:ind w:left="360" w:hanging="360"/>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eastAsia="宋体" w:cs="Times New Roman"/>
      <w:szCs w:val="21"/>
    </w:rPr>
  </w:style>
  <w:style w:type="paragraph" w:styleId="13">
    <w:name w:val="Document Map"/>
    <w:basedOn w:val="1"/>
    <w:link w:val="88"/>
    <w:qFormat/>
    <w:uiPriority w:val="0"/>
    <w:rPr>
      <w:rFonts w:ascii="宋体" w:hAnsi="Times New Roman" w:eastAsia="宋体" w:cs="Times New Roman"/>
      <w:sz w:val="18"/>
      <w:szCs w:val="18"/>
      <w:lang w:val="zh-CN" w:eastAsia="zh-CN"/>
    </w:rPr>
  </w:style>
  <w:style w:type="paragraph" w:styleId="14">
    <w:name w:val="toa heading"/>
    <w:basedOn w:val="1"/>
    <w:next w:val="1"/>
    <w:qFormat/>
    <w:uiPriority w:val="0"/>
    <w:pPr>
      <w:spacing w:before="120"/>
    </w:pPr>
    <w:rPr>
      <w:rFonts w:ascii="Arial" w:hAnsi="Arial" w:eastAsia="宋体" w:cs="Times New Roman"/>
      <w:b/>
      <w:bCs/>
      <w:szCs w:val="21"/>
    </w:rPr>
  </w:style>
  <w:style w:type="paragraph" w:styleId="15">
    <w:name w:val="annotation text"/>
    <w:basedOn w:val="1"/>
    <w:link w:val="67"/>
    <w:unhideWhenUsed/>
    <w:qFormat/>
    <w:uiPriority w:val="99"/>
    <w:pPr>
      <w:jc w:val="left"/>
    </w:pPr>
    <w:rPr>
      <w:rFonts w:ascii="Calibri" w:hAnsi="Calibri" w:eastAsia="宋体" w:cs="Times New Roman"/>
    </w:rPr>
  </w:style>
  <w:style w:type="paragraph" w:styleId="16">
    <w:name w:val="Salutation"/>
    <w:basedOn w:val="1"/>
    <w:next w:val="1"/>
    <w:link w:val="75"/>
    <w:qFormat/>
    <w:uiPriority w:val="0"/>
    <w:rPr>
      <w:rFonts w:ascii="Times New Roman" w:hAnsi="Times New Roman" w:eastAsia="宋体" w:cs="Times New Roman"/>
      <w:szCs w:val="21"/>
      <w:lang w:val="zh-CN" w:eastAsia="zh-CN"/>
    </w:rPr>
  </w:style>
  <w:style w:type="paragraph" w:styleId="17">
    <w:name w:val="Body Text 3"/>
    <w:basedOn w:val="1"/>
    <w:link w:val="99"/>
    <w:qFormat/>
    <w:uiPriority w:val="0"/>
    <w:pPr>
      <w:spacing w:before="100" w:after="20" w:line="440" w:lineRule="exact"/>
    </w:pPr>
    <w:rPr>
      <w:rFonts w:ascii="楷体_GB2312" w:hAnsi="Times New Roman" w:eastAsia="楷体_GB2312" w:cs="Times New Roman"/>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19">
    <w:name w:val="Body Text"/>
    <w:basedOn w:val="1"/>
    <w:link w:val="83"/>
    <w:qFormat/>
    <w:uiPriority w:val="0"/>
    <w:pPr>
      <w:spacing w:after="120"/>
    </w:pPr>
    <w:rPr>
      <w:rFonts w:ascii="Times New Roman" w:hAnsi="Times New Roman" w:eastAsia="宋体" w:cs="Times New Roman"/>
      <w:szCs w:val="21"/>
      <w:lang w:val="zh-CN" w:eastAsia="zh-CN"/>
    </w:rPr>
  </w:style>
  <w:style w:type="paragraph" w:styleId="20">
    <w:name w:val="Body Text Indent"/>
    <w:basedOn w:val="1"/>
    <w:link w:val="95"/>
    <w:qFormat/>
    <w:uiPriority w:val="0"/>
    <w:pPr>
      <w:adjustRightInd w:val="0"/>
      <w:spacing w:line="300" w:lineRule="auto"/>
      <w:ind w:left="898" w:firstLine="2"/>
      <w:jc w:val="left"/>
      <w:textAlignment w:val="baseline"/>
    </w:pPr>
    <w:rPr>
      <w:rFonts w:ascii="仿宋_GB2312" w:hAnsi="MS Sans Serif" w:eastAsia="仿宋_GB2312" w:cs="Times New Roman"/>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22">
    <w:name w:val="Block Text"/>
    <w:basedOn w:val="1"/>
    <w:qFormat/>
    <w:uiPriority w:val="0"/>
    <w:pPr>
      <w:spacing w:after="120"/>
      <w:ind w:left="1440" w:leftChars="700" w:right="1440" w:rightChars="700"/>
    </w:pPr>
    <w:rPr>
      <w:rFonts w:ascii="Times New Roman" w:hAnsi="Times New Roman" w:eastAsia="宋体" w:cs="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eastAsia="宋体" w:cs="Times New Roman"/>
      <w:szCs w:val="24"/>
    </w:rPr>
  </w:style>
  <w:style w:type="paragraph" w:styleId="25">
    <w:name w:val="Plain Text"/>
    <w:basedOn w:val="1"/>
    <w:link w:val="82"/>
    <w:qFormat/>
    <w:uiPriority w:val="0"/>
    <w:rPr>
      <w:rFonts w:ascii="宋体" w:hAnsi="Courier New" w:eastAsia="宋体" w:cs="Times New Roman"/>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eastAsia="宋体" w:cs="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eastAsia="宋体" w:cs="Times New Roman"/>
      <w:szCs w:val="21"/>
    </w:rPr>
  </w:style>
  <w:style w:type="paragraph" w:styleId="28">
    <w:name w:val="Date"/>
    <w:basedOn w:val="1"/>
    <w:next w:val="1"/>
    <w:link w:val="79"/>
    <w:qFormat/>
    <w:uiPriority w:val="0"/>
    <w:pPr>
      <w:ind w:left="100" w:leftChars="2500"/>
    </w:pPr>
    <w:rPr>
      <w:rFonts w:ascii="楷体_GB2312" w:hAnsi="Times New Roman" w:eastAsia="楷体_GB2312" w:cs="Times New Roman"/>
      <w:sz w:val="28"/>
      <w:szCs w:val="24"/>
      <w:lang w:val="zh-CN" w:eastAsia="zh-CN"/>
    </w:rPr>
  </w:style>
  <w:style w:type="paragraph" w:styleId="29">
    <w:name w:val="Body Text Indent 2"/>
    <w:basedOn w:val="1"/>
    <w:link w:val="94"/>
    <w:qFormat/>
    <w:uiPriority w:val="0"/>
    <w:pPr>
      <w:adjustRightInd w:val="0"/>
      <w:spacing w:line="360" w:lineRule="auto"/>
      <w:ind w:firstLine="540"/>
      <w:textAlignment w:val="baseline"/>
    </w:pPr>
    <w:rPr>
      <w:rFonts w:ascii="仿宋_GB2312" w:hAnsi="Times New Roman" w:eastAsia="仿宋_GB2312" w:cs="Times New Roman"/>
      <w:kern w:val="0"/>
      <w:sz w:val="24"/>
      <w:szCs w:val="20"/>
    </w:rPr>
  </w:style>
  <w:style w:type="paragraph" w:styleId="30">
    <w:name w:val="Balloon Text"/>
    <w:basedOn w:val="1"/>
    <w:link w:val="65"/>
    <w:unhideWhenUsed/>
    <w:qFormat/>
    <w:uiPriority w:val="0"/>
    <w:rPr>
      <w:rFonts w:ascii="Calibri" w:hAnsi="Calibri" w:eastAsia="宋体" w:cs="Times New Roman"/>
      <w:sz w:val="18"/>
      <w:szCs w:val="18"/>
    </w:rPr>
  </w:style>
  <w:style w:type="paragraph" w:styleId="31">
    <w:name w:val="footer"/>
    <w:basedOn w:val="1"/>
    <w:link w:val="61"/>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eastAsia="宋体" w:cs="Arial"/>
      <w:szCs w:val="21"/>
    </w:rPr>
  </w:style>
  <w:style w:type="paragraph" w:styleId="33">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left"/>
    </w:pPr>
    <w:rPr>
      <w:rFonts w:ascii="黑体" w:hAnsi="Times New Roman" w:eastAsia="黑体" w:cs="Times New Roman"/>
      <w:sz w:val="44"/>
      <w:szCs w:val="44"/>
    </w:rPr>
  </w:style>
  <w:style w:type="paragraph" w:styleId="35">
    <w:name w:val="Subtitle"/>
    <w:basedOn w:val="1"/>
    <w:next w:val="1"/>
    <w:link w:val="11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eastAsia="宋体" w:cs="Times New Roman"/>
      <w:szCs w:val="21"/>
    </w:rPr>
  </w:style>
  <w:style w:type="paragraph" w:styleId="37">
    <w:name w:val="List"/>
    <w:basedOn w:val="1"/>
    <w:qFormat/>
    <w:uiPriority w:val="0"/>
    <w:pPr>
      <w:ind w:left="200" w:hanging="200" w:hangingChars="200"/>
    </w:pPr>
    <w:rPr>
      <w:rFonts w:ascii="Times New Roman" w:hAnsi="Times New Roman" w:eastAsia="宋体" w:cs="Times New Roman"/>
      <w:szCs w:val="21"/>
    </w:rPr>
  </w:style>
  <w:style w:type="paragraph" w:styleId="38">
    <w:name w:val="footnote text"/>
    <w:basedOn w:val="1"/>
    <w:link w:val="90"/>
    <w:qFormat/>
    <w:uiPriority w:val="0"/>
    <w:pPr>
      <w:snapToGrid w:val="0"/>
      <w:jc w:val="left"/>
    </w:pPr>
    <w:rPr>
      <w:rFonts w:ascii="Times New Roman" w:hAnsi="Times New Roman" w:eastAsia="宋体" w:cs="Times New Roman"/>
      <w:sz w:val="18"/>
      <w:szCs w:val="18"/>
      <w:lang w:val="zh-CN" w:eastAsia="zh-CN"/>
    </w:rPr>
  </w:style>
  <w:style w:type="paragraph" w:styleId="39">
    <w:name w:val="Body Text Indent 3"/>
    <w:basedOn w:val="1"/>
    <w:link w:val="97"/>
    <w:qFormat/>
    <w:uiPriority w:val="0"/>
    <w:pPr>
      <w:spacing w:line="180" w:lineRule="atLeast"/>
      <w:ind w:firstLine="538" w:firstLineChars="192"/>
    </w:pPr>
    <w:rPr>
      <w:rFonts w:ascii="楷体_GB2312" w:hAnsi="Times New Roman" w:eastAsia="楷体_GB2312" w:cs="Times New Roman"/>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eastAsia="宋体" w:cs="Times New Roman"/>
      <w:szCs w:val="24"/>
    </w:rPr>
  </w:style>
  <w:style w:type="paragraph" w:styleId="41">
    <w:name w:val="Body Text 2"/>
    <w:basedOn w:val="1"/>
    <w:link w:val="98"/>
    <w:qFormat/>
    <w:uiPriority w:val="0"/>
    <w:pPr>
      <w:tabs>
        <w:tab w:val="left" w:pos="9000"/>
      </w:tabs>
      <w:spacing w:before="100" w:after="20" w:line="440" w:lineRule="exact"/>
      <w:ind w:right="-176"/>
    </w:pPr>
    <w:rPr>
      <w:rFonts w:ascii="楷体_GB2312" w:hAnsi="Times New Roman" w:eastAsia="楷体_GB2312" w:cs="Times New Roman"/>
      <w:sz w:val="28"/>
      <w:szCs w:val="20"/>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44">
    <w:name w:val="Title"/>
    <w:basedOn w:val="1"/>
    <w:link w:val="76"/>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68"/>
    <w:unhideWhenUsed/>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rPr>
      <w:rFonts w:eastAsia="宋体"/>
      <w:kern w:val="2"/>
      <w:sz w:val="24"/>
      <w:szCs w:val="24"/>
      <w:lang w:val="en-US" w:eastAsia="zh-CN" w:bidi="ar-SA"/>
    </w:rPr>
  </w:style>
  <w:style w:type="character" w:styleId="51">
    <w:name w:val="FollowedHyperlink"/>
    <w:qFormat/>
    <w:uiPriority w:val="0"/>
    <w:rPr>
      <w:rFonts w:eastAsia="宋体"/>
      <w:color w:val="800080"/>
      <w:kern w:val="2"/>
      <w:sz w:val="24"/>
      <w:szCs w:val="24"/>
      <w:u w:val="single"/>
      <w:lang w:val="en-US" w:eastAsia="zh-CN" w:bidi="ar-SA"/>
    </w:rPr>
  </w:style>
  <w:style w:type="character" w:styleId="52">
    <w:name w:val="Emphasis"/>
    <w:basedOn w:val="48"/>
    <w:qFormat/>
    <w:uiPriority w:val="20"/>
    <w:rPr>
      <w:i/>
      <w:iCs/>
    </w:rPr>
  </w:style>
  <w:style w:type="character" w:styleId="53">
    <w:name w:val="Hyperlink"/>
    <w:qFormat/>
    <w:uiPriority w:val="0"/>
    <w:rPr>
      <w:rFonts w:eastAsia="宋体"/>
      <w:color w:val="0000FF"/>
      <w:kern w:val="2"/>
      <w:sz w:val="24"/>
      <w:szCs w:val="24"/>
      <w:u w:val="single"/>
      <w:lang w:val="en-US" w:eastAsia="zh-CN" w:bidi="ar-SA"/>
    </w:rPr>
  </w:style>
  <w:style w:type="character" w:styleId="54">
    <w:name w:val="annotation reference"/>
    <w:basedOn w:val="48"/>
    <w:unhideWhenUsed/>
    <w:qFormat/>
    <w:uiPriority w:val="99"/>
    <w:rPr>
      <w:sz w:val="21"/>
      <w:szCs w:val="21"/>
    </w:rPr>
  </w:style>
  <w:style w:type="character" w:styleId="55">
    <w:name w:val="footnote reference"/>
    <w:qFormat/>
    <w:uiPriority w:val="0"/>
    <w:rPr>
      <w:rFonts w:eastAsia="宋体"/>
      <w:kern w:val="2"/>
      <w:sz w:val="24"/>
      <w:szCs w:val="24"/>
      <w:vertAlign w:val="superscript"/>
      <w:lang w:val="en-US" w:eastAsia="zh-CN" w:bidi="ar-SA"/>
    </w:rPr>
  </w:style>
  <w:style w:type="character" w:customStyle="1" w:styleId="56">
    <w:name w:val="标题 1 Char"/>
    <w:basedOn w:val="48"/>
    <w:link w:val="2"/>
    <w:qFormat/>
    <w:uiPriority w:val="0"/>
    <w:rPr>
      <w:rFonts w:ascii="Calibri" w:hAnsi="Calibri" w:eastAsia="宋体" w:cs="Times New Roman"/>
      <w:b/>
      <w:bCs/>
      <w:kern w:val="44"/>
      <w:sz w:val="44"/>
      <w:szCs w:val="44"/>
      <w:lang w:val="zh-CN" w:eastAsia="zh-CN"/>
    </w:rPr>
  </w:style>
  <w:style w:type="character" w:customStyle="1" w:styleId="57">
    <w:name w:val="标题 2 Char"/>
    <w:basedOn w:val="48"/>
    <w:link w:val="3"/>
    <w:qFormat/>
    <w:uiPriority w:val="0"/>
    <w:rPr>
      <w:rFonts w:asciiTheme="majorHAnsi" w:hAnsiTheme="majorHAnsi" w:eastAsiaTheme="majorEastAsia" w:cstheme="majorBidi"/>
      <w:b/>
      <w:bCs/>
      <w:sz w:val="32"/>
      <w:szCs w:val="32"/>
    </w:rPr>
  </w:style>
  <w:style w:type="character" w:customStyle="1" w:styleId="58">
    <w:name w:val="标题 3 Char1"/>
    <w:link w:val="4"/>
    <w:qFormat/>
    <w:uiPriority w:val="0"/>
    <w:rPr>
      <w:rFonts w:ascii="Times New Roman" w:hAnsi="Times New Roman" w:eastAsia="宋体" w:cs="Times New Roman"/>
      <w:b/>
      <w:bCs/>
      <w:sz w:val="32"/>
      <w:szCs w:val="32"/>
      <w:lang w:val="zh-CN" w:eastAsia="zh-CN"/>
    </w:rPr>
  </w:style>
  <w:style w:type="character" w:customStyle="1" w:styleId="59">
    <w:name w:val="标题 4 Char"/>
    <w:basedOn w:val="48"/>
    <w:link w:val="5"/>
    <w:qFormat/>
    <w:uiPriority w:val="0"/>
    <w:rPr>
      <w:rFonts w:ascii="Arial" w:hAnsi="Arial" w:eastAsia="黑体" w:cs="Times New Roman"/>
      <w:b/>
      <w:bCs/>
      <w:sz w:val="28"/>
      <w:szCs w:val="28"/>
      <w:lang w:val="zh-CN" w:eastAsia="zh-CN"/>
    </w:rPr>
  </w:style>
  <w:style w:type="character" w:customStyle="1" w:styleId="60">
    <w:name w:val="页眉 Char"/>
    <w:basedOn w:val="48"/>
    <w:link w:val="33"/>
    <w:qFormat/>
    <w:uiPriority w:val="0"/>
    <w:rPr>
      <w:sz w:val="18"/>
      <w:szCs w:val="18"/>
    </w:rPr>
  </w:style>
  <w:style w:type="character" w:customStyle="1" w:styleId="61">
    <w:name w:val="页脚 Char"/>
    <w:basedOn w:val="48"/>
    <w:link w:val="31"/>
    <w:qFormat/>
    <w:uiPriority w:val="99"/>
    <w:rPr>
      <w:sz w:val="18"/>
      <w:szCs w:val="18"/>
    </w:rPr>
  </w:style>
  <w:style w:type="character" w:customStyle="1" w:styleId="62">
    <w:name w:val="标题 3 Char"/>
    <w:basedOn w:val="48"/>
    <w:qFormat/>
    <w:uiPriority w:val="0"/>
    <w:rPr>
      <w:b/>
      <w:bCs/>
      <w:sz w:val="32"/>
      <w:szCs w:val="32"/>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64">
    <w:name w:val="List Paragraph"/>
    <w:basedOn w:val="1"/>
    <w:qFormat/>
    <w:uiPriority w:val="34"/>
    <w:pPr>
      <w:ind w:firstLine="420" w:firstLineChars="200"/>
    </w:pPr>
    <w:rPr>
      <w:rFonts w:ascii="Calibri" w:hAnsi="Calibri" w:eastAsia="宋体" w:cs="Times New Roman"/>
    </w:rPr>
  </w:style>
  <w:style w:type="character" w:customStyle="1" w:styleId="65">
    <w:name w:val="批注框文本 Char"/>
    <w:basedOn w:val="48"/>
    <w:link w:val="30"/>
    <w:qFormat/>
    <w:uiPriority w:val="0"/>
    <w:rPr>
      <w:rFonts w:ascii="Calibri" w:hAnsi="Calibri" w:eastAsia="宋体" w:cs="Times New Roman"/>
      <w:sz w:val="18"/>
      <w:szCs w:val="18"/>
    </w:rPr>
  </w:style>
  <w:style w:type="paragraph" w:styleId="6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批注文字 Char"/>
    <w:basedOn w:val="48"/>
    <w:link w:val="15"/>
    <w:qFormat/>
    <w:uiPriority w:val="99"/>
    <w:rPr>
      <w:rFonts w:ascii="Calibri" w:hAnsi="Calibri" w:eastAsia="宋体" w:cs="Times New Roman"/>
    </w:rPr>
  </w:style>
  <w:style w:type="character" w:customStyle="1" w:styleId="68">
    <w:name w:val="批注主题 Char"/>
    <w:basedOn w:val="67"/>
    <w:link w:val="45"/>
    <w:qFormat/>
    <w:uiPriority w:val="0"/>
    <w:rPr>
      <w:rFonts w:ascii="Calibri" w:hAnsi="Calibri" w:eastAsia="宋体" w:cs="Times New Roman"/>
      <w:b/>
      <w:bCs/>
    </w:rPr>
  </w:style>
  <w:style w:type="paragraph" w:customStyle="1" w:styleId="69">
    <w:name w:val="Revision"/>
    <w:hidden/>
    <w:qFormat/>
    <w:uiPriority w:val="99"/>
    <w:rPr>
      <w:rFonts w:ascii="Calibri" w:hAnsi="Calibri" w:eastAsia="宋体" w:cs="Times New Roman"/>
      <w:kern w:val="2"/>
      <w:sz w:val="21"/>
      <w:szCs w:val="22"/>
      <w:lang w:val="en-US" w:eastAsia="zh-CN" w:bidi="ar-SA"/>
    </w:rPr>
  </w:style>
  <w:style w:type="paragraph" w:customStyle="1" w:styleId="70">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1">
    <w:name w:val="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character" w:customStyle="1" w:styleId="72">
    <w:name w:val="cap"/>
    <w:qFormat/>
    <w:uiPriority w:val="0"/>
    <w:rPr>
      <w:rFonts w:eastAsia="宋体"/>
      <w:kern w:val="2"/>
      <w:sz w:val="24"/>
      <w:szCs w:val="24"/>
      <w:lang w:val="en-US" w:eastAsia="zh-CN" w:bidi="ar-SA"/>
    </w:rPr>
  </w:style>
  <w:style w:type="character" w:customStyle="1" w:styleId="73">
    <w:name w:val="notnullcss1"/>
    <w:qFormat/>
    <w:uiPriority w:val="0"/>
    <w:rPr>
      <w:rFonts w:eastAsia="宋体"/>
      <w:color w:val="FF0000"/>
      <w:kern w:val="2"/>
      <w:sz w:val="24"/>
      <w:szCs w:val="24"/>
      <w:lang w:val="en-US" w:eastAsia="zh-CN" w:bidi="ar-SA"/>
    </w:rPr>
  </w:style>
  <w:style w:type="paragraph" w:customStyle="1" w:styleId="74">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5">
    <w:name w:val="称呼 Char"/>
    <w:basedOn w:val="48"/>
    <w:link w:val="16"/>
    <w:qFormat/>
    <w:uiPriority w:val="0"/>
    <w:rPr>
      <w:rFonts w:ascii="Times New Roman" w:hAnsi="Times New Roman" w:eastAsia="宋体" w:cs="Times New Roman"/>
      <w:szCs w:val="21"/>
      <w:lang w:val="zh-CN" w:eastAsia="zh-CN"/>
    </w:rPr>
  </w:style>
  <w:style w:type="character" w:customStyle="1" w:styleId="76">
    <w:name w:val="标题 Char"/>
    <w:link w:val="44"/>
    <w:qFormat/>
    <w:locked/>
    <w:uiPriority w:val="0"/>
    <w:rPr>
      <w:rFonts w:ascii="Arial" w:hAnsi="Arial" w:cs="Arial"/>
      <w:b/>
      <w:bCs/>
      <w:sz w:val="32"/>
      <w:szCs w:val="32"/>
    </w:rPr>
  </w:style>
  <w:style w:type="character" w:customStyle="1" w:styleId="77">
    <w:name w:val="标题 Char1"/>
    <w:basedOn w:val="48"/>
    <w:qFormat/>
    <w:uiPriority w:val="0"/>
    <w:rPr>
      <w:rFonts w:eastAsia="宋体" w:asciiTheme="majorHAnsi" w:hAnsiTheme="majorHAnsi" w:cstheme="majorBidi"/>
      <w:b/>
      <w:bCs/>
      <w:sz w:val="32"/>
      <w:szCs w:val="32"/>
    </w:rPr>
  </w:style>
  <w:style w:type="character" w:customStyle="1" w:styleId="78">
    <w:name w:val="注释标题 Char"/>
    <w:basedOn w:val="48"/>
    <w:link w:val="8"/>
    <w:qFormat/>
    <w:uiPriority w:val="0"/>
    <w:rPr>
      <w:rFonts w:ascii="Times New Roman" w:hAnsi="Times New Roman" w:eastAsia="宋体" w:cs="Times New Roman"/>
      <w:szCs w:val="21"/>
      <w:lang w:val="zh-CN" w:eastAsia="zh-CN"/>
    </w:rPr>
  </w:style>
  <w:style w:type="character" w:customStyle="1" w:styleId="79">
    <w:name w:val="日期 Char"/>
    <w:basedOn w:val="48"/>
    <w:link w:val="28"/>
    <w:qFormat/>
    <w:uiPriority w:val="0"/>
    <w:rPr>
      <w:rFonts w:ascii="楷体_GB2312" w:hAnsi="Times New Roman" w:eastAsia="楷体_GB2312" w:cs="Times New Roman"/>
      <w:sz w:val="28"/>
      <w:szCs w:val="24"/>
      <w:lang w:val="zh-CN" w:eastAsia="zh-CN"/>
    </w:rPr>
  </w:style>
  <w:style w:type="paragraph" w:customStyle="1" w:styleId="80">
    <w:name w:val="Char Char 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81">
    <w:name w:val="xl61"/>
    <w:basedOn w:val="1"/>
    <w:qFormat/>
    <w:uiPriority w:val="0"/>
    <w:pPr>
      <w:widowControl/>
      <w:spacing w:before="100" w:after="100"/>
      <w:jc w:val="right"/>
    </w:pPr>
    <w:rPr>
      <w:rFonts w:ascii="Arial Unicode MS" w:hAnsi="Times New Roman" w:eastAsia="Arial Unicode MS" w:cs="Times New Roman"/>
      <w:kern w:val="0"/>
      <w:sz w:val="18"/>
      <w:szCs w:val="18"/>
    </w:rPr>
  </w:style>
  <w:style w:type="character" w:customStyle="1" w:styleId="82">
    <w:name w:val="纯文本 Char"/>
    <w:basedOn w:val="48"/>
    <w:link w:val="25"/>
    <w:qFormat/>
    <w:uiPriority w:val="0"/>
    <w:rPr>
      <w:rFonts w:ascii="宋体" w:hAnsi="Courier New" w:eastAsia="宋体" w:cs="Times New Roman"/>
      <w:szCs w:val="21"/>
      <w:lang w:val="zh-CN" w:eastAsia="zh-CN"/>
    </w:rPr>
  </w:style>
  <w:style w:type="character" w:customStyle="1" w:styleId="83">
    <w:name w:val="正文文本 Char"/>
    <w:basedOn w:val="48"/>
    <w:link w:val="19"/>
    <w:qFormat/>
    <w:uiPriority w:val="0"/>
    <w:rPr>
      <w:rFonts w:ascii="Times New Roman" w:hAnsi="Times New Roman" w:eastAsia="宋体" w:cs="Times New Roman"/>
      <w:szCs w:val="21"/>
      <w:lang w:val="zh-CN" w:eastAsia="zh-CN"/>
    </w:rPr>
  </w:style>
  <w:style w:type="paragraph" w:customStyle="1" w:styleId="84">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eastAsia="宋体" w:cs="Times New Roman"/>
      <w:kern w:val="0"/>
      <w:sz w:val="24"/>
      <w:szCs w:val="24"/>
      <w:lang w:val="en-AU"/>
    </w:rPr>
  </w:style>
  <w:style w:type="paragraph" w:customStyle="1" w:styleId="85">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86">
    <w:name w:val="span_"/>
    <w:qFormat/>
    <w:uiPriority w:val="0"/>
    <w:rPr>
      <w:rFonts w:eastAsia="宋体"/>
      <w:kern w:val="2"/>
      <w:sz w:val="24"/>
      <w:szCs w:val="24"/>
      <w:lang w:val="en-US" w:eastAsia="zh-CN" w:bidi="ar-SA"/>
    </w:rPr>
  </w:style>
  <w:style w:type="paragraph" w:customStyle="1" w:styleId="87">
    <w:name w:val="Char"/>
    <w:basedOn w:val="1"/>
    <w:qFormat/>
    <w:uiPriority w:val="0"/>
    <w:pPr>
      <w:ind w:left="765" w:hanging="360"/>
    </w:pPr>
    <w:rPr>
      <w:rFonts w:ascii="Times New Roman" w:hAnsi="Times New Roman" w:eastAsia="宋体" w:cs="Times New Roman"/>
      <w:sz w:val="24"/>
      <w:szCs w:val="24"/>
    </w:rPr>
  </w:style>
  <w:style w:type="character" w:customStyle="1" w:styleId="88">
    <w:name w:val="文档结构图 Char"/>
    <w:basedOn w:val="48"/>
    <w:link w:val="13"/>
    <w:qFormat/>
    <w:uiPriority w:val="0"/>
    <w:rPr>
      <w:rFonts w:ascii="宋体" w:hAnsi="Times New Roman" w:eastAsia="宋体" w:cs="Times New Roman"/>
      <w:sz w:val="18"/>
      <w:szCs w:val="18"/>
      <w:lang w:val="zh-CN" w:eastAsia="zh-CN"/>
    </w:rPr>
  </w:style>
  <w:style w:type="paragraph" w:customStyle="1" w:styleId="89">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0">
    <w:name w:val="脚注文本 Char"/>
    <w:basedOn w:val="48"/>
    <w:link w:val="38"/>
    <w:qFormat/>
    <w:uiPriority w:val="0"/>
    <w:rPr>
      <w:rFonts w:ascii="Times New Roman" w:hAnsi="Times New Roman" w:eastAsia="宋体" w:cs="Times New Roman"/>
      <w:sz w:val="18"/>
      <w:szCs w:val="18"/>
      <w:lang w:val="zh-CN" w:eastAsia="zh-CN"/>
    </w:rPr>
  </w:style>
  <w:style w:type="character" w:customStyle="1" w:styleId="91">
    <w:name w:val="标题 3 Char Char"/>
    <w:qFormat/>
    <w:uiPriority w:val="0"/>
    <w:rPr>
      <w:b/>
      <w:bCs/>
      <w:kern w:val="2"/>
      <w:sz w:val="32"/>
      <w:szCs w:val="32"/>
    </w:rPr>
  </w:style>
  <w:style w:type="paragraph" w:customStyle="1" w:styleId="92">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93">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character" w:customStyle="1" w:styleId="94">
    <w:name w:val="正文文本缩进 2 Char"/>
    <w:basedOn w:val="48"/>
    <w:link w:val="29"/>
    <w:qFormat/>
    <w:uiPriority w:val="0"/>
    <w:rPr>
      <w:rFonts w:ascii="仿宋_GB2312" w:hAnsi="Times New Roman" w:eastAsia="仿宋_GB2312" w:cs="Times New Roman"/>
      <w:kern w:val="0"/>
      <w:sz w:val="24"/>
      <w:szCs w:val="20"/>
    </w:rPr>
  </w:style>
  <w:style w:type="character" w:customStyle="1" w:styleId="95">
    <w:name w:val="正文文本缩进 Char"/>
    <w:basedOn w:val="48"/>
    <w:link w:val="20"/>
    <w:qFormat/>
    <w:uiPriority w:val="0"/>
    <w:rPr>
      <w:rFonts w:ascii="仿宋_GB2312" w:hAnsi="MS Sans Serif" w:eastAsia="仿宋_GB2312" w:cs="Times New Roman"/>
      <w:kern w:val="0"/>
      <w:sz w:val="28"/>
      <w:szCs w:val="20"/>
    </w:rPr>
  </w:style>
  <w:style w:type="paragraph" w:customStyle="1" w:styleId="96">
    <w:name w:val="标准"/>
    <w:basedOn w:val="1"/>
    <w:qFormat/>
    <w:uiPriority w:val="0"/>
    <w:pPr>
      <w:adjustRightInd w:val="0"/>
      <w:spacing w:line="360" w:lineRule="auto"/>
      <w:jc w:val="center"/>
      <w:textAlignment w:val="baseline"/>
    </w:pPr>
    <w:rPr>
      <w:rFonts w:ascii="Times New Roman" w:hAnsi="Times New Roman" w:eastAsia="宋体" w:cs="Times New Roman"/>
      <w:spacing w:val="28"/>
      <w:kern w:val="0"/>
      <w:sz w:val="72"/>
      <w:szCs w:val="20"/>
    </w:rPr>
  </w:style>
  <w:style w:type="character" w:customStyle="1" w:styleId="97">
    <w:name w:val="正文文本缩进 3 Char"/>
    <w:basedOn w:val="48"/>
    <w:link w:val="39"/>
    <w:qFormat/>
    <w:uiPriority w:val="0"/>
    <w:rPr>
      <w:rFonts w:ascii="楷体_GB2312" w:hAnsi="Times New Roman" w:eastAsia="楷体_GB2312" w:cs="Times New Roman"/>
      <w:sz w:val="28"/>
      <w:szCs w:val="20"/>
    </w:rPr>
  </w:style>
  <w:style w:type="character" w:customStyle="1" w:styleId="98">
    <w:name w:val="正文文本 2 Char"/>
    <w:basedOn w:val="48"/>
    <w:link w:val="41"/>
    <w:qFormat/>
    <w:uiPriority w:val="0"/>
    <w:rPr>
      <w:rFonts w:ascii="楷体_GB2312" w:hAnsi="Times New Roman" w:eastAsia="楷体_GB2312" w:cs="Times New Roman"/>
      <w:sz w:val="28"/>
      <w:szCs w:val="20"/>
    </w:rPr>
  </w:style>
  <w:style w:type="character" w:customStyle="1" w:styleId="99">
    <w:name w:val="正文文本 3 Char"/>
    <w:basedOn w:val="48"/>
    <w:link w:val="17"/>
    <w:qFormat/>
    <w:uiPriority w:val="0"/>
    <w:rPr>
      <w:rFonts w:ascii="楷体_GB2312" w:hAnsi="Times New Roman" w:eastAsia="楷体_GB2312" w:cs="Times New Roman"/>
      <w:color w:val="000000"/>
      <w:sz w:val="24"/>
    </w:rPr>
  </w:style>
  <w:style w:type="character" w:customStyle="1" w:styleId="100">
    <w:name w:val="font14 line-height"/>
    <w:basedOn w:val="48"/>
    <w:qFormat/>
    <w:uiPriority w:val="0"/>
  </w:style>
  <w:style w:type="character" w:customStyle="1" w:styleId="101">
    <w:name w:val="msoins"/>
    <w:basedOn w:val="48"/>
    <w:qFormat/>
    <w:uiPriority w:val="0"/>
  </w:style>
  <w:style w:type="paragraph" w:customStyle="1" w:styleId="102">
    <w:name w:val="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04">
    <w:name w:val="font8"/>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rPr>
  </w:style>
  <w:style w:type="paragraph" w:customStyle="1" w:styleId="1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07">
    <w:name w:val="Char Char4"/>
    <w:qFormat/>
    <w:uiPriority w:val="0"/>
    <w:rPr>
      <w:b/>
      <w:bCs/>
      <w:sz w:val="32"/>
      <w:szCs w:val="32"/>
    </w:rPr>
  </w:style>
  <w:style w:type="paragraph" w:customStyle="1" w:styleId="108">
    <w:name w:val="默认段落字体 Para Char Char Char Char Char Char Char"/>
    <w:basedOn w:val="1"/>
    <w:qFormat/>
    <w:uiPriority w:val="0"/>
    <w:rPr>
      <w:rFonts w:ascii="Tahoma" w:hAnsi="Tahoma" w:eastAsia="宋体" w:cs="Times New Roman"/>
      <w:sz w:val="24"/>
      <w:szCs w:val="20"/>
    </w:rPr>
  </w:style>
  <w:style w:type="character" w:customStyle="1" w:styleId="109">
    <w:name w:val="Body Text Char"/>
    <w:link w:val="110"/>
    <w:qFormat/>
    <w:uiPriority w:val="0"/>
    <w:rPr>
      <w:rFonts w:ascii="Georgia"/>
    </w:rPr>
  </w:style>
  <w:style w:type="paragraph" w:customStyle="1" w:styleId="110">
    <w:name w:val="Body Text1"/>
    <w:basedOn w:val="1"/>
    <w:link w:val="109"/>
    <w:qFormat/>
    <w:uiPriority w:val="0"/>
    <w:rPr>
      <w:rFonts w:ascii="Georgia"/>
    </w:rPr>
  </w:style>
  <w:style w:type="paragraph" w:customStyle="1" w:styleId="111">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2">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3">
    <w:name w:val="Char Char42"/>
    <w:qFormat/>
    <w:uiPriority w:val="0"/>
    <w:rPr>
      <w:b/>
      <w:bCs/>
      <w:sz w:val="32"/>
      <w:szCs w:val="32"/>
    </w:rPr>
  </w:style>
  <w:style w:type="paragraph" w:customStyle="1" w:styleId="114">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5">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6">
    <w:name w:val="Char Char41"/>
    <w:qFormat/>
    <w:uiPriority w:val="0"/>
    <w:rPr>
      <w:b/>
      <w:bCs/>
      <w:sz w:val="32"/>
      <w:szCs w:val="32"/>
    </w:rPr>
  </w:style>
  <w:style w:type="character" w:customStyle="1" w:styleId="117">
    <w:name w:val="副标题 Char"/>
    <w:basedOn w:val="48"/>
    <w:link w:val="35"/>
    <w:qFormat/>
    <w:uiPriority w:val="11"/>
    <w:rPr>
      <w:rFonts w:eastAsia="宋体" w:asciiTheme="majorHAnsi" w:hAnsiTheme="majorHAnsi" w:cstheme="majorBidi"/>
      <w:b/>
      <w:bCs/>
      <w:kern w:val="28"/>
      <w:sz w:val="32"/>
      <w:szCs w:val="32"/>
    </w:rPr>
  </w:style>
  <w:style w:type="paragraph" w:customStyle="1" w:styleId="118">
    <w:name w:val="Table Paragraph"/>
    <w:basedOn w:val="1"/>
    <w:qFormat/>
    <w:uiPriority w:val="1"/>
    <w:pPr>
      <w:autoSpaceDE w:val="0"/>
      <w:autoSpaceDN w:val="0"/>
      <w:adjustRightInd w:val="0"/>
      <w:ind w:left="562" w:right="564"/>
      <w:jc w:val="left"/>
    </w:pPr>
    <w:rPr>
      <w:rFonts w:ascii="宋体" w:hAnsi="Times New Roman" w:eastAsia="宋体" w:cs="宋体"/>
      <w:kern w:val="0"/>
      <w:sz w:val="24"/>
      <w:szCs w:val="24"/>
    </w:rPr>
  </w:style>
  <w:style w:type="table" w:customStyle="1" w:styleId="119">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标题 5 Char"/>
    <w:basedOn w:val="48"/>
    <w:link w:val="6"/>
    <w:semiHidden/>
    <w:qFormat/>
    <w:uiPriority w:val="9"/>
    <w:rPr>
      <w:b/>
      <w:bCs/>
      <w:sz w:val="28"/>
      <w:szCs w:val="28"/>
    </w:rPr>
  </w:style>
  <w:style w:type="table" w:customStyle="1" w:styleId="123">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Plain Table 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6">
    <w:name w:val="Plain Table 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27">
    <w:name w:val="TableGrid"/>
    <w:qFormat/>
    <w:uiPriority w:val="0"/>
    <w:rPr>
      <w:rFonts w:ascii="Calibri" w:hAnsi="Calibri" w:eastAsia="宋体" w:cs="Times New Roman"/>
    </w:rPr>
    <w:tblPr>
      <w:tblCellMar>
        <w:top w:w="0" w:type="dxa"/>
        <w:left w:w="0" w:type="dxa"/>
        <w:bottom w:w="0" w:type="dxa"/>
        <w:right w:w="0" w:type="dxa"/>
      </w:tblCellMar>
    </w:tblPr>
  </w:style>
  <w:style w:type="table" w:customStyle="1" w:styleId="128">
    <w:name w:val="网格型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无格式表格 2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39">
    <w:name w:val="无格式表格 3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0">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41">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无格式表格 2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9">
    <w:name w:val="无格式表格 3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0">
    <w:name w:val="TableGrid2"/>
    <w:qFormat/>
    <w:uiPriority w:val="0"/>
    <w:rPr>
      <w:rFonts w:ascii="Calibri" w:hAnsi="Calibri" w:eastAsia="宋体" w:cs="Times New Roman"/>
    </w:rPr>
    <w:tblPr>
      <w:tblCellMar>
        <w:top w:w="0" w:type="dxa"/>
        <w:left w:w="0" w:type="dxa"/>
        <w:bottom w:w="0" w:type="dxa"/>
        <w:right w:w="0" w:type="dxa"/>
      </w:tblCellMar>
    </w:tblPr>
  </w:style>
  <w:style w:type="table" w:customStyle="1" w:styleId="151">
    <w:name w:val="网格型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6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fontstyle01"/>
    <w:basedOn w:val="48"/>
    <w:qFormat/>
    <w:uiPriority w:val="0"/>
    <w:rPr>
      <w:rFonts w:hint="default" w:ascii="CIDFont+F4" w:hAnsi="CIDFont+F4"/>
      <w:color w:val="000000"/>
      <w:sz w:val="28"/>
      <w:szCs w:val="28"/>
    </w:rPr>
  </w:style>
  <w:style w:type="table" w:customStyle="1" w:styleId="162">
    <w:name w:val="网格型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无格式表格 2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5">
    <w:name w:val="无格式表格 3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6">
    <w:name w:val="TableGrid3"/>
    <w:qFormat/>
    <w:uiPriority w:val="0"/>
    <w:rPr>
      <w:rFonts w:ascii="Calibri" w:hAnsi="Calibri" w:eastAsia="宋体" w:cs="Times New Roman"/>
    </w:rPr>
    <w:tblPr>
      <w:tblCellMar>
        <w:top w:w="0" w:type="dxa"/>
        <w:left w:w="0" w:type="dxa"/>
        <w:bottom w:w="0" w:type="dxa"/>
        <w:right w:w="0" w:type="dxa"/>
      </w:tblCellMar>
    </w:tblPr>
  </w:style>
  <w:style w:type="table" w:customStyle="1" w:styleId="167">
    <w:name w:val="网格型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6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1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1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网格型1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4">
    <w:name w:val="fontstyle21"/>
    <w:basedOn w:val="48"/>
    <w:qFormat/>
    <w:uiPriority w:val="0"/>
    <w:rPr>
      <w:rFonts w:hint="default" w:ascii="CIDFont+F1" w:hAnsi="CIDFont+F1"/>
      <w:color w:val="000000"/>
      <w:sz w:val="28"/>
      <w:szCs w:val="28"/>
    </w:rPr>
  </w:style>
  <w:style w:type="table" w:customStyle="1" w:styleId="185">
    <w:name w:val="网格型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无格式表格 24"/>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8">
    <w:name w:val="无格式表格 34"/>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9">
    <w:name w:val="TableGrid4"/>
    <w:qFormat/>
    <w:uiPriority w:val="0"/>
    <w:rPr>
      <w:rFonts w:ascii="Calibri" w:hAnsi="Calibri" w:eastAsia="宋体" w:cs="Times New Roman"/>
    </w:rPr>
    <w:tblPr>
      <w:tblCellMar>
        <w:top w:w="0" w:type="dxa"/>
        <w:left w:w="0" w:type="dxa"/>
        <w:bottom w:w="0" w:type="dxa"/>
        <w:right w:w="0" w:type="dxa"/>
      </w:tblCellMar>
    </w:tblPr>
  </w:style>
  <w:style w:type="table" w:customStyle="1" w:styleId="190">
    <w:name w:val="网格型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6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网格型1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1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1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1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1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网格型1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1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无格式表格 21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10">
    <w:name w:val="无格式表格 31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11">
    <w:name w:val="TableGrid5"/>
    <w:qFormat/>
    <w:uiPriority w:val="0"/>
    <w:rPr>
      <w:rFonts w:ascii="Calibri" w:hAnsi="Calibri" w:eastAsia="宋体" w:cs="Times New Roman"/>
    </w:rPr>
    <w:tblPr>
      <w:tblCellMar>
        <w:top w:w="0" w:type="dxa"/>
        <w:left w:w="0" w:type="dxa"/>
        <w:bottom w:w="0" w:type="dxa"/>
        <w:right w:w="0" w:type="dxa"/>
      </w:tblCellMar>
    </w:tblPr>
  </w:style>
  <w:style w:type="table" w:customStyle="1" w:styleId="212">
    <w:name w:val="网格型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6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8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无格式表格 25"/>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
    <w:name w:val="无格式表格 35"/>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
    <w:name w:val="TableGrid6"/>
    <w:qFormat/>
    <w:uiPriority w:val="0"/>
    <w:rPr>
      <w:rFonts w:ascii="Calibri" w:hAnsi="Calibri" w:eastAsia="宋体" w:cs="Times New Roman"/>
    </w:rPr>
    <w:tblPr>
      <w:tblCellMar>
        <w:top w:w="0" w:type="dxa"/>
        <w:left w:w="0" w:type="dxa"/>
        <w:bottom w:w="0" w:type="dxa"/>
        <w:right w:w="0" w:type="dxa"/>
      </w:tblCellMar>
    </w:tblPr>
  </w:style>
  <w:style w:type="table" w:customStyle="1" w:styleId="236">
    <w:name w:val="网格型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6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8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1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1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1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1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1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2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1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29"/>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1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修订1"/>
    <w:hidden/>
    <w:qFormat/>
    <w:uiPriority w:val="99"/>
    <w:rPr>
      <w:rFonts w:ascii="Calibri" w:hAnsi="Calibri" w:eastAsia="宋体" w:cs="Times New Roman"/>
      <w:kern w:val="2"/>
      <w:sz w:val="21"/>
      <w:szCs w:val="22"/>
      <w:lang w:val="en-US" w:eastAsia="zh-CN" w:bidi="ar-SA"/>
    </w:rPr>
  </w:style>
  <w:style w:type="table" w:customStyle="1" w:styleId="261">
    <w:name w:val="无格式表格 21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2">
    <w:name w:val="无格式表格 31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3">
    <w:name w:val="TableGrid7"/>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26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65">
    <w:name w:val="网格型210"/>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3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6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4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6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7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8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96"/>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10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11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12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13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4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15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16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17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18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19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3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1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无格式表格 26"/>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7">
    <w:name w:val="无格式表格 36"/>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8">
    <w:name w:val="TableGrid8"/>
    <w:qFormat/>
    <w:uiPriority w:val="0"/>
    <w:rPr>
      <w:rFonts w:ascii="Calibri" w:hAnsi="Calibri" w:eastAsia="宋体" w:cs="Times New Roman"/>
    </w:rPr>
    <w:tblPr>
      <w:tblCellMar>
        <w:top w:w="0" w:type="dxa"/>
        <w:left w:w="0" w:type="dxa"/>
        <w:bottom w:w="0" w:type="dxa"/>
        <w:right w:w="0" w:type="dxa"/>
      </w:tblCellMar>
    </w:tblPr>
  </w:style>
  <w:style w:type="table" w:customStyle="1" w:styleId="289">
    <w:name w:val="网格型2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6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5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6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1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1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1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1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网格型1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1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1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无格式表格 21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9">
    <w:name w:val="无格式表格 31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0">
    <w:name w:val="TableGrid11"/>
    <w:qFormat/>
    <w:uiPriority w:val="0"/>
    <w:rPr>
      <w:rFonts w:ascii="Calibri" w:hAnsi="Calibri" w:eastAsia="宋体" w:cs="Times New Roman"/>
    </w:rPr>
    <w:tblPr>
      <w:tblCellMar>
        <w:top w:w="0" w:type="dxa"/>
        <w:left w:w="0" w:type="dxa"/>
        <w:bottom w:w="0" w:type="dxa"/>
        <w:right w:w="0" w:type="dxa"/>
      </w:tblCellMar>
    </w:tblPr>
  </w:style>
  <w:style w:type="table" w:customStyle="1" w:styleId="311">
    <w:name w:val="网格型2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3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6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网格型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网格型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1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6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型1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网格型1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网格型8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网格型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1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1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1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1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7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网格型2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无格式表格 27"/>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33">
    <w:name w:val="无格式表格 37"/>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34">
    <w:name w:val="TableGrid9"/>
    <w:qFormat/>
    <w:uiPriority w:val="0"/>
    <w:rPr>
      <w:rFonts w:ascii="Calibri" w:hAnsi="Calibri" w:eastAsia="宋体" w:cs="Times New Roman"/>
    </w:rPr>
    <w:tblPr>
      <w:tblCellMar>
        <w:top w:w="0" w:type="dxa"/>
        <w:left w:w="0" w:type="dxa"/>
        <w:bottom w:w="0" w:type="dxa"/>
        <w:right w:w="0" w:type="dxa"/>
      </w:tblCellMar>
    </w:tblPr>
  </w:style>
  <w:style w:type="table" w:customStyle="1" w:styleId="335">
    <w:name w:val="网格型2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3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6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4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5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6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7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8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网格型9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网格型10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网格型1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网格型1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网格型1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1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1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网格型1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网格型4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网格型1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无格式表格 28"/>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55">
    <w:name w:val="无格式表格 38"/>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56">
    <w:name w:val="TableGrid10"/>
    <w:qFormat/>
    <w:uiPriority w:val="0"/>
    <w:rPr>
      <w:rFonts w:ascii="Calibri" w:hAnsi="Calibri" w:eastAsia="宋体" w:cs="Times New Roman"/>
    </w:rPr>
    <w:tblPr>
      <w:tblCellMar>
        <w:top w:w="0" w:type="dxa"/>
        <w:left w:w="0" w:type="dxa"/>
        <w:bottom w:w="0" w:type="dxa"/>
        <w:right w:w="0" w:type="dxa"/>
      </w:tblCellMar>
    </w:tblPr>
  </w:style>
  <w:style w:type="table" w:customStyle="1" w:styleId="357">
    <w:name w:val="网格型2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3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6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网格型4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网格型5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网格型6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
    <w:name w:val="网格型7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
    <w:name w:val="网格型8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网格型10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网格型1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1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1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网格型1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网格型1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网格型18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网格型216"/>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网格型1811"/>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网格型222"/>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网格型314"/>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网格型19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网格型5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修订11"/>
    <w:hidden/>
    <w:qFormat/>
    <w:uiPriority w:val="99"/>
    <w:rPr>
      <w:rFonts w:ascii="Calibri" w:hAnsi="Calibri" w:eastAsia="宋体" w:cs="Times New Roman"/>
      <w:kern w:val="2"/>
      <w:sz w:val="21"/>
      <w:szCs w:val="22"/>
      <w:lang w:val="en-US" w:eastAsia="zh-CN" w:bidi="ar-SA"/>
    </w:rPr>
  </w:style>
  <w:style w:type="paragraph" w:customStyle="1" w:styleId="383">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84">
    <w:name w:val="网格型7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huaijw/C:\Users\shuaijw\AppData\Roaming\Microsoft\Templates\CoReport.dotm" TargetMode="Externa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CoReport</Template>
  <Pages>20</Pages>
  <Words>1690</Words>
  <Characters>9634</Characters>
  <Lines>80</Lines>
  <Paragraphs>22</Paragraphs>
  <TotalTime>11</TotalTime>
  <ScaleCrop>false</ScaleCrop>
  <LinksUpToDate>false</LinksUpToDate>
  <CharactersWithSpaces>11302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2024-02-29T16:48:00Z</dcterms:created>
  <dc:creator>帅嘉伟sjw</dc:creator>
  <cp:lastModifiedBy>shuaijw</cp:lastModifiedBy>
  <cp:lastPrinted>2020-01-16T16:15:00Z</cp:lastPrinted>
  <dcterms:modified xsi:type="dcterms:W3CDTF">2024-03-13T11:04:33Z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