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0"/>
        <w:rPr>
          <w:rFonts w:ascii="方正大标宋简体" w:eastAsia="方正大标宋简体" w:cs="Times New Roman"/>
          <w:b/>
          <w:color w:val="000000" w:themeColor="text1"/>
          <w:sz w:val="36"/>
          <w14:textFill>
            <w14:solidFill>
              <w14:schemeClr w14:val="tx1"/>
            </w14:solidFill>
          </w14:textFill>
        </w:rPr>
      </w:pPr>
      <w:bookmarkStart w:id="115" w:name="_GoBack"/>
      <w:bookmarkEnd w:id="115"/>
    </w:p>
    <w:p>
      <w:pPr>
        <w:spacing w:before="144" w:line="440" w:lineRule="exact"/>
        <w:ind w:firstLine="720"/>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ascii="方正大标宋简体" w:eastAsia="方正大标宋简体" w:cs="Times New Roman"/>
          <w:color w:val="000000" w:themeColor="text1"/>
          <w:sz w:val="42"/>
          <w:szCs w:val="42"/>
          <w:lang w:val="en"/>
          <w14:textFill>
            <w14:solidFill>
              <w14:schemeClr w14:val="tx1"/>
            </w14:solidFill>
          </w14:textFill>
        </w:rPr>
        <w:t>融资融券等业务优化</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二三年七月</w:t>
      </w:r>
    </w:p>
    <w:p>
      <w:pPr>
        <w:tabs>
          <w:tab w:val="center" w:pos="4153"/>
          <w:tab w:val="left" w:pos="5595"/>
        </w:tabs>
        <w:spacing w:before="144"/>
        <w:ind w:firstLine="640"/>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lang w:val="en"/>
                <w14:textFill>
                  <w14:solidFill>
                    <w14:schemeClr w14:val="tx1"/>
                  </w14:solidFill>
                </w14:textFill>
              </w:rPr>
              <w:t>融资融券等业务优化</w:t>
            </w:r>
            <w:r>
              <w:rPr>
                <w:rFonts w:hint="eastAsia" w:ascii="Times New Roman" w:hAnsi="Times New Roman" w:eastAsia="方正仿宋简体"/>
                <w:color w:val="000000" w:themeColor="text1"/>
                <w:szCs w:val="24"/>
                <w14:textFill>
                  <w14:solidFill>
                    <w14:schemeClr w14:val="tx1"/>
                  </w14:solidFill>
                </w14:textFill>
              </w:rPr>
              <w:t>通关测试方案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202</w:t>
            </w:r>
            <w:r>
              <w:rPr>
                <w:rFonts w:hint="eastAsia" w:ascii="Times New Roman" w:hAnsi="Times New Roman" w:eastAsia="方正仿宋简体"/>
                <w:color w:val="000000" w:themeColor="text1"/>
                <w:szCs w:val="24"/>
                <w14:textFill>
                  <w14:solidFill>
                    <w14:schemeClr w14:val="tx1"/>
                  </w14:solidFill>
                </w14:textFill>
              </w:rPr>
              <w:t>3</w:t>
            </w:r>
            <w:r>
              <w:rPr>
                <w:rFonts w:ascii="Times New Roman" w:hAnsi="Times New Roman" w:eastAsia="方正仿宋简体"/>
                <w:color w:val="000000" w:themeColor="text1"/>
                <w:szCs w:val="24"/>
                <w14:textFill>
                  <w14:solidFill>
                    <w14:schemeClr w14:val="tx1"/>
                  </w14:solidFill>
                </w14:textFill>
              </w:rPr>
              <w:t>.7.1</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0"/>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"_Toc139101906" </w:instrText>
      </w:r>
      <w:r>
        <w:fldChar w:fldCharType="separate"/>
      </w:r>
      <w:r>
        <w:rPr>
          <w:rStyle w:val="43"/>
          <w:rFonts w:hint="eastAsia"/>
        </w:rPr>
        <w:t>一、测试目的和背景</w:t>
      </w:r>
      <w:r>
        <w:tab/>
      </w:r>
      <w:r>
        <w:fldChar w:fldCharType="begin"/>
      </w:r>
      <w:r>
        <w:instrText xml:space="preserve"> PAGEREF _Toc139101906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"_Toc139101907" </w:instrText>
      </w:r>
      <w:r>
        <w:fldChar w:fldCharType="separate"/>
      </w:r>
      <w:r>
        <w:rPr>
          <w:rStyle w:val="43"/>
          <w:rFonts w:hint="eastAsia"/>
        </w:rPr>
        <w:t>二、参测机构</w:t>
      </w:r>
      <w:r>
        <w:tab/>
      </w:r>
      <w:r>
        <w:fldChar w:fldCharType="begin"/>
      </w:r>
      <w:r>
        <w:instrText xml:space="preserve"> PAGEREF _Toc139101907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"_Toc139101908" </w:instrText>
      </w:r>
      <w:r>
        <w:fldChar w:fldCharType="separate"/>
      </w:r>
      <w:r>
        <w:rPr>
          <w:rStyle w:val="43"/>
          <w:rFonts w:hint="eastAsia"/>
        </w:rPr>
        <w:t>三、参考技术规范</w:t>
      </w:r>
      <w:r>
        <w:tab/>
      </w:r>
      <w:r>
        <w:fldChar w:fldCharType="begin"/>
      </w:r>
      <w:r>
        <w:instrText xml:space="preserve"> PAGEREF _Toc139101908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"_Toc139101909" </w:instrText>
      </w:r>
      <w:r>
        <w:fldChar w:fldCharType="separate"/>
      </w:r>
      <w:r>
        <w:rPr>
          <w:rStyle w:val="43"/>
          <w:rFonts w:hint="eastAsia"/>
        </w:rPr>
        <w:t>四、参测技术系统</w:t>
      </w:r>
      <w:r>
        <w:tab/>
      </w:r>
      <w:r>
        <w:fldChar w:fldCharType="begin"/>
      </w:r>
      <w:r>
        <w:instrText xml:space="preserve"> PAGEREF _Toc139101909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"_Toc139101910" </w:instrText>
      </w:r>
      <w:r>
        <w:fldChar w:fldCharType="separate"/>
      </w:r>
      <w:r>
        <w:rPr>
          <w:rStyle w:val="43"/>
          <w:rFonts w:hint="eastAsia"/>
        </w:rPr>
        <w:t>五、测试时间安排</w:t>
      </w:r>
      <w:r>
        <w:tab/>
      </w:r>
      <w:r>
        <w:fldChar w:fldCharType="begin"/>
      </w:r>
      <w:r>
        <w:instrText xml:space="preserve"> PAGEREF _Toc139101910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"_Toc139101911" </w:instrText>
      </w:r>
      <w:r>
        <w:fldChar w:fldCharType="separate"/>
      </w:r>
      <w:r>
        <w:rPr>
          <w:rStyle w:val="43"/>
          <w:rFonts w:hint="eastAsia"/>
        </w:rPr>
        <w:t>六、 测试内容</w:t>
      </w:r>
      <w:r>
        <w:tab/>
      </w:r>
      <w:r>
        <w:fldChar w:fldCharType="begin"/>
      </w:r>
      <w:r>
        <w:instrText xml:space="preserve"> PAGEREF _Toc139101911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"_Toc139101912" </w:instrText>
      </w:r>
      <w:r>
        <w:fldChar w:fldCharType="separate"/>
      </w:r>
      <w:r>
        <w:rPr>
          <w:rStyle w:val="43"/>
          <w:rFonts w:hint="eastAsia"/>
        </w:rPr>
        <w:t>七、 测试场景及要求</w:t>
      </w:r>
      <w:r>
        <w:tab/>
      </w:r>
      <w:r>
        <w:fldChar w:fldCharType="begin"/>
      </w:r>
      <w:r>
        <w:instrText xml:space="preserve"> PAGEREF _Toc139101912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"_Toc139101913" </w:instrText>
      </w:r>
      <w:r>
        <w:fldChar w:fldCharType="separate"/>
      </w:r>
      <w:r>
        <w:rPr>
          <w:rStyle w:val="43"/>
          <w:rFonts w:hint="eastAsia"/>
        </w:rPr>
        <w:t>（一） 测试场景</w:t>
      </w:r>
      <w:r>
        <w:tab/>
      </w:r>
      <w:r>
        <w:fldChar w:fldCharType="begin"/>
      </w:r>
      <w:r>
        <w:instrText xml:space="preserve"> PAGEREF _Toc139101913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"_Toc139101914" </w:instrText>
      </w:r>
      <w:r>
        <w:fldChar w:fldCharType="separate"/>
      </w:r>
      <w:r>
        <w:rPr>
          <w:rStyle w:val="43"/>
          <w:rFonts w:hint="eastAsia"/>
        </w:rPr>
        <w:t>（二）交易类测试要求</w:t>
      </w:r>
      <w:r>
        <w:tab/>
      </w:r>
      <w:r>
        <w:fldChar w:fldCharType="begin"/>
      </w:r>
      <w:r>
        <w:instrText xml:space="preserve"> PAGEREF _Toc139101914 \h </w:instrText>
      </w:r>
      <w:r>
        <w:fldChar w:fldCharType="separate"/>
      </w:r>
      <w:r>
        <w:t>- 10 -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"_Toc139101915" </w:instrText>
      </w:r>
      <w:r>
        <w:fldChar w:fldCharType="separate"/>
      </w:r>
      <w:r>
        <w:rPr>
          <w:rStyle w:val="43"/>
          <w:rFonts w:hint="eastAsia"/>
        </w:rPr>
        <w:t>八、 测试数据准备</w:t>
      </w:r>
      <w:r>
        <w:tab/>
      </w:r>
      <w:r>
        <w:fldChar w:fldCharType="begin"/>
      </w:r>
      <w:r>
        <w:instrText xml:space="preserve"> PAGEREF _Toc139101915 \h </w:instrText>
      </w:r>
      <w:r>
        <w:fldChar w:fldCharType="separate"/>
      </w:r>
      <w:r>
        <w:t>- 11 -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"_Toc139101916" </w:instrText>
      </w:r>
      <w:r>
        <w:fldChar w:fldCharType="separate"/>
      </w:r>
      <w:r>
        <w:rPr>
          <w:rStyle w:val="43"/>
          <w:rFonts w:hint="eastAsia"/>
        </w:rPr>
        <w:t>（一）证券行情和证券信息</w:t>
      </w:r>
      <w:r>
        <w:tab/>
      </w:r>
      <w:r>
        <w:fldChar w:fldCharType="begin"/>
      </w:r>
      <w:r>
        <w:instrText xml:space="preserve"> PAGEREF _Toc139101916 \h </w:instrText>
      </w:r>
      <w:r>
        <w:fldChar w:fldCharType="separate"/>
      </w:r>
      <w:r>
        <w:t>- 11 -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"_Toc139101917" </w:instrText>
      </w:r>
      <w:r>
        <w:fldChar w:fldCharType="separate"/>
      </w:r>
      <w:r>
        <w:rPr>
          <w:rStyle w:val="43"/>
          <w:rFonts w:hint="eastAsia"/>
        </w:rPr>
        <w:t>（二）证券账户、交易单元、托管单元及持仓</w:t>
      </w:r>
      <w:r>
        <w:tab/>
      </w:r>
      <w:r>
        <w:fldChar w:fldCharType="begin"/>
      </w:r>
      <w:r>
        <w:instrText xml:space="preserve"> PAGEREF _Toc139101917 \h </w:instrText>
      </w:r>
      <w:r>
        <w:fldChar w:fldCharType="separate"/>
      </w:r>
      <w:r>
        <w:t>- 11 -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"_Toc139101918" </w:instrText>
      </w:r>
      <w:r>
        <w:fldChar w:fldCharType="separate"/>
      </w:r>
      <w:r>
        <w:rPr>
          <w:rStyle w:val="43"/>
          <w:rFonts w:hint="eastAsia"/>
        </w:rPr>
        <w:t>（三）挂牌公司分层信息</w:t>
      </w:r>
      <w:r>
        <w:tab/>
      </w:r>
      <w:r>
        <w:fldChar w:fldCharType="begin"/>
      </w:r>
      <w:r>
        <w:instrText xml:space="preserve"> PAGEREF _Toc139101918 \h </w:instrText>
      </w:r>
      <w:r>
        <w:fldChar w:fldCharType="separate"/>
      </w:r>
      <w:r>
        <w:t>- 11 -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"_Toc139101919" </w:instrText>
      </w:r>
      <w:r>
        <w:fldChar w:fldCharType="separate"/>
      </w:r>
      <w:r>
        <w:rPr>
          <w:rStyle w:val="43"/>
          <w:rFonts w:hint="eastAsia"/>
        </w:rPr>
        <w:t>（四）交易网关、行情网关和结算网关</w:t>
      </w:r>
      <w:r>
        <w:tab/>
      </w:r>
      <w:r>
        <w:fldChar w:fldCharType="begin"/>
      </w:r>
      <w:r>
        <w:instrText xml:space="preserve"> PAGEREF _Toc139101919 \h </w:instrText>
      </w:r>
      <w:r>
        <w:fldChar w:fldCharType="separate"/>
      </w:r>
      <w:r>
        <w:t>- 11 -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"_Toc139101920" </w:instrText>
      </w:r>
      <w:r>
        <w:fldChar w:fldCharType="separate"/>
      </w:r>
      <w:r>
        <w:rPr>
          <w:rStyle w:val="43"/>
          <w:rFonts w:hint="eastAsia"/>
        </w:rPr>
        <w:t>（五）</w:t>
      </w:r>
      <w:r>
        <w:rPr>
          <w:rStyle w:val="43"/>
        </w:rPr>
        <w:t>FDEP</w:t>
      </w:r>
      <w:r>
        <w:rPr>
          <w:rStyle w:val="43"/>
          <w:rFonts w:hint="eastAsia"/>
        </w:rPr>
        <w:t>小站</w:t>
      </w:r>
      <w:r>
        <w:tab/>
      </w:r>
      <w:r>
        <w:fldChar w:fldCharType="begin"/>
      </w:r>
      <w:r>
        <w:instrText xml:space="preserve"> PAGEREF _Toc139101920 \h </w:instrText>
      </w:r>
      <w:r>
        <w:fldChar w:fldCharType="separate"/>
      </w:r>
      <w:r>
        <w:t>- 12 -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"_Toc139101921" </w:instrText>
      </w:r>
      <w:r>
        <w:fldChar w:fldCharType="separate"/>
      </w:r>
      <w:r>
        <w:rPr>
          <w:rStyle w:val="43"/>
          <w:rFonts w:hint="eastAsia"/>
        </w:rPr>
        <w:t>九、 测试系统接入方式</w:t>
      </w:r>
      <w:r>
        <w:tab/>
      </w:r>
      <w:r>
        <w:fldChar w:fldCharType="begin"/>
      </w:r>
      <w:r>
        <w:instrText xml:space="preserve"> PAGEREF _Toc139101921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"_Toc139101922" </w:instrText>
      </w:r>
      <w:r>
        <w:fldChar w:fldCharType="separate"/>
      </w:r>
      <w:r>
        <w:rPr>
          <w:rStyle w:val="43"/>
          <w:rFonts w:hint="eastAsia"/>
        </w:rPr>
        <w:t>（一）参测机构接入深证通</w:t>
      </w:r>
      <w:r>
        <w:tab/>
      </w:r>
      <w:r>
        <w:fldChar w:fldCharType="begin"/>
      </w:r>
      <w:r>
        <w:instrText xml:space="preserve"> PAGEREF _Toc139101922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"_Toc139101923" </w:instrText>
      </w:r>
      <w:r>
        <w:fldChar w:fldCharType="separate"/>
      </w:r>
      <w:r>
        <w:rPr>
          <w:rStyle w:val="43"/>
          <w:rFonts w:hint="eastAsia"/>
        </w:rPr>
        <w:t>（二）参测机构接入中国结算</w:t>
      </w:r>
      <w:r>
        <w:tab/>
      </w:r>
      <w:r>
        <w:fldChar w:fldCharType="begin"/>
      </w:r>
      <w:r>
        <w:instrText xml:space="preserve"> PAGEREF _Toc139101923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"_Toc139101924" </w:instrText>
      </w:r>
      <w:r>
        <w:fldChar w:fldCharType="separate"/>
      </w:r>
      <w:r>
        <w:rPr>
          <w:rStyle w:val="43"/>
          <w:rFonts w:hint="eastAsia"/>
        </w:rPr>
        <w:t>（三）测试相关软件下载</w:t>
      </w:r>
      <w:r>
        <w:tab/>
      </w:r>
      <w:r>
        <w:fldChar w:fldCharType="begin"/>
      </w:r>
      <w:r>
        <w:instrText xml:space="preserve"> PAGEREF _Toc139101924 \h </w:instrText>
      </w:r>
      <w:r>
        <w:fldChar w:fldCharType="separate"/>
      </w:r>
      <w:r>
        <w:t>- 12 -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"_Toc139101925" </w:instrText>
      </w:r>
      <w:r>
        <w:fldChar w:fldCharType="separate"/>
      </w:r>
      <w:r>
        <w:rPr>
          <w:rStyle w:val="43"/>
          <w:rFonts w:hint="eastAsia"/>
        </w:rPr>
        <w:t>十、测试要求及注意事项</w:t>
      </w:r>
      <w:r>
        <w:tab/>
      </w:r>
      <w:r>
        <w:fldChar w:fldCharType="begin"/>
      </w:r>
      <w:r>
        <w:instrText xml:space="preserve"> PAGEREF _Toc139101925 \h </w:instrText>
      </w:r>
      <w:r>
        <w:fldChar w:fldCharType="separate"/>
      </w:r>
      <w:r>
        <w:t>- 12 -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"_Toc139101926" </w:instrText>
      </w:r>
      <w:r>
        <w:fldChar w:fldCharType="separate"/>
      </w:r>
      <w:r>
        <w:rPr>
          <w:rStyle w:val="43"/>
          <w:rFonts w:hint="eastAsia"/>
        </w:rPr>
        <w:t>十一、联系方式</w:t>
      </w:r>
      <w:r>
        <w:tab/>
      </w:r>
      <w:r>
        <w:fldChar w:fldCharType="begin"/>
      </w:r>
      <w:r>
        <w:instrText xml:space="preserve"> PAGEREF _Toc139101926 \h </w:instrText>
      </w:r>
      <w:r>
        <w:fldChar w:fldCharType="separate"/>
      </w:r>
      <w:r>
        <w:t>- 14 -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4957903"/>
      <w:bookmarkStart w:id="2" w:name="_Toc374381845"/>
      <w:bookmarkStart w:id="3" w:name="_Toc376597516"/>
      <w:bookmarkStart w:id="4" w:name="_Toc119341896"/>
      <w:bookmarkStart w:id="5" w:name="_Toc374381911"/>
      <w:bookmarkStart w:id="6" w:name="_Toc139101906"/>
      <w:bookmarkStart w:id="7" w:name="_Toc375070721"/>
      <w:bookmarkStart w:id="8" w:name="_Toc376285219"/>
      <w:bookmarkStart w:id="9" w:name="_Toc375557957"/>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为验证</w:t>
      </w:r>
      <w:r>
        <w:rPr>
          <w:rFonts w:hint="eastAsia" w:cs="Times New Roman"/>
          <w:color w:val="000000" w:themeColor="text1"/>
          <w:sz w:val="30"/>
          <w:szCs w:val="30"/>
          <w:lang w:val="en"/>
          <w14:textFill>
            <w14:solidFill>
              <w14:schemeClr w14:val="tx1"/>
            </w14:solidFill>
          </w14:textFill>
        </w:rPr>
        <w:t>融资融券等业务优化</w:t>
      </w:r>
      <w:r>
        <w:rPr>
          <w:rFonts w:hint="eastAsia" w:cs="Times New Roman"/>
          <w:color w:val="000000" w:themeColor="text1"/>
          <w:sz w:val="30"/>
          <w:szCs w:val="30"/>
          <w14:textFill>
            <w14:solidFill>
              <w14:schemeClr w14:val="tx1"/>
            </w14:solidFill>
          </w14:textFill>
        </w:rPr>
        <w:t>技术系统的准备情况，北京证券交易所（以下简称“北交所”）、全国中小企业股份转让系统有限责任公司（以下简称“全国股转公司”） 联合中国证券登记结算有限责任公司（以下简称“中国结算”）、深圳证券通信有限公司（以下简称“深证通”）共同搭建测试环境供市场进行通关测试。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1" w:name="_Toc376285220"/>
      <w:bookmarkStart w:id="12" w:name="_Toc374381912"/>
      <w:bookmarkStart w:id="13" w:name="_Toc376597517"/>
      <w:bookmarkStart w:id="14" w:name="_Toc375557958"/>
      <w:bookmarkStart w:id="15" w:name="_Toc375070722"/>
      <w:bookmarkStart w:id="16" w:name="_Toc374957904"/>
      <w:bookmarkStart w:id="17" w:name="_Toc374381846"/>
      <w:bookmarkStart w:id="18" w:name="_Toc119341897"/>
      <w:bookmarkStart w:id="19" w:name="_Toc139101907"/>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全体证券公司</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已开通北交所交易权限的基金公司及其托管机构</w:t>
      </w:r>
    </w:p>
    <w:p>
      <w:pPr>
        <w:pStyle w:val="100"/>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各提供北交所、全国股转系统行情服务的</w:t>
      </w:r>
      <w:r>
        <w:rPr>
          <w:rFonts w:cs="Times New Roman"/>
          <w:color w:val="000000" w:themeColor="text1"/>
          <w:sz w:val="30"/>
          <w:szCs w:val="30"/>
          <w14:textFill>
            <w14:solidFill>
              <w14:schemeClr w14:val="tx1"/>
            </w14:solidFill>
          </w14:textFill>
        </w:rPr>
        <w:t>信息商</w:t>
      </w:r>
    </w:p>
    <w:p>
      <w:pPr>
        <w:pStyle w:val="100"/>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0" w:name="_Toc376285221"/>
      <w:bookmarkStart w:id="21" w:name="_Toc374381847"/>
      <w:bookmarkStart w:id="22" w:name="_Toc139101908"/>
      <w:bookmarkStart w:id="23" w:name="_Toc119341898"/>
      <w:bookmarkStart w:id="24" w:name="_Toc376597518"/>
      <w:bookmarkStart w:id="25" w:name="_Toc374381913"/>
      <w:bookmarkStart w:id="26" w:name="_Toc374957905"/>
      <w:bookmarkStart w:id="27" w:name="_Toc375070723"/>
      <w:bookmarkStart w:id="28" w:name="_Toc375557959"/>
      <w:r>
        <w:t>三</w:t>
      </w:r>
      <w:r>
        <w:rPr>
          <w:rFonts w:hint="eastAsia"/>
        </w:rPr>
        <w:t>、</w:t>
      </w:r>
      <w:r>
        <w:t>参考技术规范</w:t>
      </w:r>
      <w:bookmarkEnd w:id="20"/>
      <w:bookmarkEnd w:id="21"/>
      <w:bookmarkEnd w:id="22"/>
      <w:bookmarkEnd w:id="23"/>
      <w:bookmarkEnd w:id="24"/>
      <w:bookmarkEnd w:id="25"/>
      <w:bookmarkEnd w:id="26"/>
      <w:bookmarkEnd w:id="27"/>
      <w:bookmarkEnd w:id="28"/>
    </w:p>
    <w:p>
      <w:pPr>
        <w:pStyle w:val="100"/>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《交易支持平台数据接口规范(V2.</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p>
    <w:p>
      <w:pPr>
        <w:pStyle w:val="100"/>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《北京证券交易所市场参与者技术系统变更指南之融资融券业务（V1.2）》</w:t>
      </w:r>
    </w:p>
    <w:p>
      <w:pPr>
        <w:pStyle w:val="100"/>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《交易支持平台市场参与者技术系统变更指南之分层信息揭示（V1.2）》</w:t>
      </w:r>
    </w:p>
    <w:p>
      <w:pPr>
        <w:pStyle w:val="100"/>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《交易支持平台市场参与者技术系统变更指南之适当性差异化管理（V1.3）》</w:t>
      </w:r>
    </w:p>
    <w:p>
      <w:pPr>
        <w:pStyle w:val="100"/>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9" w:name="_Toc374381850"/>
      <w:bookmarkStart w:id="30" w:name="_Toc119341899"/>
      <w:bookmarkStart w:id="31" w:name="_Toc139101909"/>
      <w:bookmarkStart w:id="32" w:name="_Toc374957908"/>
      <w:bookmarkStart w:id="33" w:name="_Toc375557962"/>
      <w:bookmarkStart w:id="34" w:name="_Toc374381916"/>
      <w:bookmarkStart w:id="35" w:name="_Toc375070726"/>
      <w:bookmarkStart w:id="36" w:name="_Toc376285224"/>
      <w:bookmarkStart w:id="37" w:name="_Toc376597521"/>
      <w:r>
        <w:t>四</w:t>
      </w:r>
      <w:r>
        <w:rPr>
          <w:rFonts w:hint="eastAsia"/>
        </w:rPr>
        <w:t>、</w:t>
      </w:r>
      <w:r>
        <w:t>参测技术系统</w:t>
      </w:r>
      <w:bookmarkEnd w:id="29"/>
      <w:bookmarkEnd w:id="30"/>
      <w:bookmarkEnd w:id="31"/>
      <w:bookmarkEnd w:id="32"/>
      <w:bookmarkEnd w:id="33"/>
      <w:bookmarkEnd w:id="34"/>
      <w:bookmarkEnd w:id="35"/>
      <w:bookmarkEnd w:id="36"/>
      <w:bookmarkEnd w:id="37"/>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北交所和全国股转公司交易支持平台通关测试环境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中国结算北京市场证券登记结算系统通关测试环境、统一账户平台（UAP）通关测试环境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深证通通信系统和深证通金融数据交换平台（FDEP）通关测试环境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.全体证券公司</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.已开通北交所交易权限的基金公司及其托管机构</w:t>
      </w:r>
      <w:r>
        <w:rPr>
          <w:rFonts w:hint="eastAsia" w:cs="Times New Roman"/>
          <w:color w:val="000000" w:themeColor="text1"/>
          <w:sz w:val="30"/>
          <w:szCs w:val="30"/>
          <w:lang w:val="en"/>
          <w14:textFill>
            <w14:solidFill>
              <w14:schemeClr w14:val="tx1"/>
            </w14:solidFill>
          </w14:textFill>
        </w:rPr>
        <w:t>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.各提供北交所、全国股转系统行情服务的信息商相关测试环境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38" w:name="_Toc139101910"/>
      <w:bookmarkStart w:id="39" w:name="_Toc119341900"/>
      <w:r>
        <w:t>五</w:t>
      </w:r>
      <w:r>
        <w:rPr>
          <w:rFonts w:hint="eastAsia"/>
        </w:rPr>
        <w:t>、</w:t>
      </w:r>
      <w:r>
        <w:t>测试时间安排</w:t>
      </w:r>
      <w:bookmarkEnd w:id="38"/>
      <w:bookmarkEnd w:id="39"/>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通关测试时间为20</w:t>
      </w:r>
      <w:r>
        <w:rPr>
          <w:rFonts w:hint="eastAsia" w:cs="Times New Roman"/>
          <w:color w:val="000000" w:themeColor="text1"/>
          <w:sz w:val="30"/>
          <w:szCs w:val="30"/>
          <w14:textFill>
            <w14:solidFill>
              <w14:schemeClr w14:val="tx1"/>
            </w14:solidFill>
          </w14:textFill>
        </w:rPr>
        <w:t>23</w:t>
      </w:r>
      <w:r>
        <w:rPr>
          <w:rFonts w:cs="Times New Roman"/>
          <w:color w:val="000000" w:themeColor="text1"/>
          <w:sz w:val="30"/>
          <w:szCs w:val="30"/>
          <w14:textFill>
            <w14:solidFill>
              <w14:schemeClr w14:val="tx1"/>
            </w14:solidFill>
          </w14:textFill>
        </w:rPr>
        <w:t>年7</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日。通关测试模拟一个交易日和一个结算日：8:</w:t>
      </w:r>
      <w:r>
        <w:rPr>
          <w:rFonts w:cs="Times New Roman"/>
          <w:color w:val="000000" w:themeColor="text1"/>
          <w:sz w:val="30"/>
          <w:szCs w:val="30"/>
          <w14:textFill>
            <w14:solidFill>
              <w14:schemeClr w14:val="tx1"/>
            </w14:solidFill>
          </w14:textFill>
        </w:rPr>
        <w:t>30</w:t>
      </w:r>
      <w:r>
        <w:rPr>
          <w:rFonts w:hint="eastAsia" w:cs="Times New Roman"/>
          <w:color w:val="000000" w:themeColor="text1"/>
          <w:sz w:val="30"/>
          <w:szCs w:val="30"/>
          <w14:textFill>
            <w14:solidFill>
              <w14:schemeClr w14:val="tx1"/>
            </w14:solidFill>
          </w14:textFill>
        </w:rPr>
        <w:t>至15:30模拟T日的交易，15</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至18:</w:t>
      </w: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0模拟T日的日终过程</w:t>
      </w:r>
      <w:r>
        <w:rPr>
          <w:rFonts w:cs="Times New Roman"/>
          <w:color w:val="000000" w:themeColor="text1"/>
          <w:sz w:val="30"/>
          <w:szCs w:val="30"/>
          <w14:textFill>
            <w14:solidFill>
              <w14:schemeClr w14:val="tx1"/>
            </w14:solidFill>
          </w14:textFill>
        </w:rPr>
        <w:t>。</w:t>
      </w:r>
    </w:p>
    <w:tbl>
      <w:tblPr>
        <w:tblStyle w:val="3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312"/>
        <w:gridCol w:w="1275"/>
        <w:gridCol w:w="1418"/>
        <w:gridCol w:w="198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9"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交易时段</w:t>
            </w:r>
          </w:p>
        </w:tc>
        <w:tc>
          <w:tcPr>
            <w:tcW w:w="1312"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北交所连续竞价</w:t>
            </w:r>
          </w:p>
        </w:tc>
        <w:tc>
          <w:tcPr>
            <w:tcW w:w="2693"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新三板集合竞价</w:t>
            </w:r>
          </w:p>
        </w:tc>
        <w:tc>
          <w:tcPr>
            <w:tcW w:w="1984"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新三板做市交易</w:t>
            </w:r>
          </w:p>
        </w:tc>
        <w:tc>
          <w:tcPr>
            <w:tcW w:w="1418"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公开发行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9" w:type="dxa"/>
            <w:vMerge w:val="continue"/>
            <w:shd w:val="clear" w:color="auto" w:fill="D0CECE" w:themeFill="background2" w:themeFillShade="E6"/>
            <w:vAlign w:val="center"/>
          </w:tcPr>
          <w:p>
            <w:pPr>
              <w:ind w:firstLine="0" w:firstLineChars="0"/>
              <w:rPr>
                <w:rFonts w:ascii="仿宋_GB2312" w:hAnsi="仿宋" w:eastAsia="仿宋_GB2312"/>
                <w:sz w:val="28"/>
                <w:szCs w:val="28"/>
              </w:rPr>
            </w:pPr>
          </w:p>
        </w:tc>
        <w:tc>
          <w:tcPr>
            <w:tcW w:w="1312" w:type="dxa"/>
            <w:vMerge w:val="continue"/>
            <w:shd w:val="clear" w:color="auto" w:fill="D0CECE" w:themeFill="background2" w:themeFillShade="E6"/>
          </w:tcPr>
          <w:p>
            <w:pPr>
              <w:ind w:firstLine="0" w:firstLineChars="0"/>
              <w:jc w:val="both"/>
              <w:rPr>
                <w:rFonts w:ascii="仿宋_GB2312" w:hAnsi="仿宋" w:eastAsia="仿宋_GB2312"/>
                <w:sz w:val="28"/>
                <w:szCs w:val="28"/>
              </w:rPr>
            </w:pPr>
          </w:p>
        </w:tc>
        <w:tc>
          <w:tcPr>
            <w:tcW w:w="1275"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基础层</w:t>
            </w:r>
          </w:p>
        </w:tc>
        <w:tc>
          <w:tcPr>
            <w:tcW w:w="1418"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创新</w:t>
            </w:r>
            <w:r>
              <w:rPr>
                <w:rFonts w:hint="eastAsia" w:ascii="楷体" w:hAnsi="楷体" w:eastAsia="楷体"/>
                <w:b/>
                <w:szCs w:val="24"/>
              </w:rPr>
              <w:t>层</w:t>
            </w:r>
          </w:p>
        </w:tc>
        <w:tc>
          <w:tcPr>
            <w:tcW w:w="1984" w:type="dxa"/>
            <w:vMerge w:val="continue"/>
            <w:shd w:val="clear" w:color="auto" w:fill="D0CECE" w:themeFill="background2" w:themeFillShade="E6"/>
          </w:tcPr>
          <w:p>
            <w:pPr>
              <w:tabs>
                <w:tab w:val="left" w:pos="720"/>
              </w:tabs>
              <w:ind w:firstLine="0" w:firstLineChars="0"/>
              <w:jc w:val="both"/>
              <w:rPr>
                <w:rFonts w:ascii="仿宋_GB2312" w:hAnsi="仿宋" w:eastAsia="仿宋_GB2312"/>
                <w:sz w:val="28"/>
                <w:szCs w:val="28"/>
              </w:rPr>
            </w:pP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询价</w:t>
            </w: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99" w:type="dxa"/>
            <w:vAlign w:val="center"/>
          </w:tcPr>
          <w:p>
            <w:pPr>
              <w:ind w:firstLine="0" w:firstLineChars="0"/>
              <w:jc w:val="center"/>
              <w:rPr>
                <w:rFonts w:cs="Times New Roman"/>
                <w:szCs w:val="24"/>
              </w:rPr>
            </w:pPr>
            <w:r>
              <w:rPr>
                <w:rFonts w:cs="Times New Roman"/>
                <w:szCs w:val="24"/>
              </w:rPr>
              <w:t>08:30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下发初始行情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99" w:type="dxa"/>
            <w:vAlign w:val="center"/>
          </w:tcPr>
          <w:p>
            <w:pPr>
              <w:ind w:firstLine="0" w:firstLineChars="0"/>
              <w:jc w:val="center"/>
              <w:rPr>
                <w:rFonts w:cs="Times New Roman"/>
                <w:szCs w:val="24"/>
              </w:rPr>
            </w:pPr>
            <w:r>
              <w:rPr>
                <w:rFonts w:cs="Times New Roman"/>
                <w:szCs w:val="24"/>
              </w:rPr>
              <w:t>09:15</w:t>
            </w:r>
          </w:p>
        </w:tc>
        <w:tc>
          <w:tcPr>
            <w:tcW w:w="5989" w:type="dxa"/>
            <w:gridSpan w:val="4"/>
            <w:vAlign w:val="center"/>
          </w:tcPr>
          <w:p>
            <w:pPr>
              <w:ind w:firstLine="0" w:firstLineChars="0"/>
              <w:jc w:val="center"/>
              <w:rPr>
                <w:rFonts w:ascii="仿宋" w:hAnsi="仿宋"/>
                <w:szCs w:val="24"/>
              </w:rPr>
            </w:pPr>
            <w:r>
              <w:rPr>
                <w:rFonts w:hint="eastAsia" w:ascii="仿宋" w:hAnsi="仿宋"/>
                <w:szCs w:val="24"/>
              </w:rPr>
              <w:t>开市、</w:t>
            </w:r>
            <w:r>
              <w:rPr>
                <w:rFonts w:ascii="仿宋" w:hAnsi="仿宋"/>
                <w:szCs w:val="24"/>
              </w:rPr>
              <w:t>大宗交易收单</w:t>
            </w:r>
          </w:p>
        </w:tc>
        <w:tc>
          <w:tcPr>
            <w:tcW w:w="709" w:type="dxa"/>
            <w:vMerge w:val="restart"/>
            <w:vAlign w:val="center"/>
          </w:tcPr>
          <w:p>
            <w:pPr>
              <w:ind w:firstLine="0" w:firstLineChars="0"/>
              <w:rPr>
                <w:rFonts w:ascii="仿宋" w:hAnsi="仿宋"/>
                <w:szCs w:val="24"/>
              </w:rPr>
            </w:pPr>
            <w:r>
              <w:rPr>
                <w:rFonts w:hint="eastAsia" w:ascii="仿宋" w:hAnsi="仿宋"/>
                <w:szCs w:val="24"/>
              </w:rPr>
              <w:t>询价</w:t>
            </w:r>
            <w:r>
              <w:rPr>
                <w:rFonts w:ascii="仿宋" w:hAnsi="仿宋"/>
                <w:szCs w:val="24"/>
              </w:rPr>
              <w:t>申报</w:t>
            </w:r>
            <w:r>
              <w:rPr>
                <w:rFonts w:hint="eastAsia" w:ascii="仿宋" w:hAnsi="仿宋"/>
                <w:szCs w:val="24"/>
              </w:rPr>
              <w:t xml:space="preserve"> </w:t>
            </w:r>
          </w:p>
        </w:tc>
        <w:tc>
          <w:tcPr>
            <w:tcW w:w="709" w:type="dxa"/>
            <w:vMerge w:val="restart"/>
            <w:vAlign w:val="center"/>
          </w:tcPr>
          <w:p>
            <w:pPr>
              <w:ind w:firstLine="0" w:firstLineChars="0"/>
              <w:rPr>
                <w:rFonts w:ascii="仿宋" w:hAnsi="仿宋"/>
                <w:szCs w:val="24"/>
              </w:rPr>
            </w:pPr>
            <w:r>
              <w:rPr>
                <w:rFonts w:ascii="仿宋" w:hAnsi="仿宋"/>
                <w:szCs w:val="24"/>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99" w:type="dxa"/>
            <w:vAlign w:val="center"/>
          </w:tcPr>
          <w:p>
            <w:pPr>
              <w:ind w:firstLine="0" w:firstLineChars="0"/>
              <w:jc w:val="center"/>
              <w:rPr>
                <w:rFonts w:cs="Times New Roman"/>
                <w:szCs w:val="24"/>
              </w:rPr>
            </w:pPr>
            <w:r>
              <w:rPr>
                <w:rFonts w:cs="Times New Roman"/>
                <w:szCs w:val="24"/>
              </w:rPr>
              <w:t>09:25</w:t>
            </w:r>
          </w:p>
        </w:tc>
        <w:tc>
          <w:tcPr>
            <w:tcW w:w="1312" w:type="dxa"/>
            <w:vAlign w:val="center"/>
          </w:tcPr>
          <w:p>
            <w:pPr>
              <w:ind w:firstLine="0" w:firstLineChars="0"/>
              <w:rPr>
                <w:rFonts w:ascii="仿宋" w:hAnsi="仿宋"/>
                <w:szCs w:val="24"/>
              </w:rPr>
            </w:pPr>
            <w:r>
              <w:rPr>
                <w:rFonts w:hint="eastAsia" w:ascii="仿宋" w:hAnsi="仿宋"/>
                <w:szCs w:val="24"/>
              </w:rPr>
              <w:t>开盘集合竞价</w:t>
            </w: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Align w:val="center"/>
          </w:tcPr>
          <w:p>
            <w:pPr>
              <w:ind w:firstLine="0" w:firstLineChars="0"/>
              <w:rPr>
                <w:rFonts w:ascii="仿宋" w:hAnsi="仿宋"/>
                <w:szCs w:val="24"/>
              </w:rPr>
            </w:pPr>
            <w:r>
              <w:rPr>
                <w:rFonts w:hint="eastAsia" w:ascii="仿宋" w:hAnsi="仿宋"/>
                <w:szCs w:val="24"/>
              </w:rPr>
              <w:t>——</w:t>
            </w:r>
          </w:p>
        </w:tc>
        <w:tc>
          <w:tcPr>
            <w:tcW w:w="1984" w:type="dxa"/>
            <w:vAlign w:val="center"/>
          </w:tcPr>
          <w:p>
            <w:pPr>
              <w:ind w:firstLine="0" w:firstLineChars="0"/>
              <w:rPr>
                <w:rFonts w:ascii="仿宋" w:hAnsi="仿宋"/>
                <w:szCs w:val="24"/>
              </w:rPr>
            </w:pPr>
            <w:r>
              <w:rPr>
                <w:rFonts w:hint="eastAsia" w:ascii="仿宋" w:hAnsi="仿宋"/>
                <w:szCs w:val="24"/>
              </w:rPr>
              <w:t>——</w:t>
            </w: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09:30</w:t>
            </w:r>
          </w:p>
        </w:tc>
        <w:tc>
          <w:tcPr>
            <w:tcW w:w="1312" w:type="dxa"/>
            <w:vMerge w:val="restart"/>
            <w:vAlign w:val="center"/>
          </w:tcPr>
          <w:p>
            <w:pPr>
              <w:ind w:firstLine="0" w:firstLineChars="0"/>
              <w:rPr>
                <w:rFonts w:ascii="仿宋" w:hAnsi="仿宋"/>
                <w:szCs w:val="24"/>
              </w:rPr>
            </w:pPr>
            <w:r>
              <w:rPr>
                <w:rFonts w:hint="eastAsia" w:ascii="仿宋" w:hAnsi="仿宋"/>
                <w:szCs w:val="24"/>
              </w:rPr>
              <w:t>连续竞价</w:t>
            </w: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restart"/>
            <w:vAlign w:val="center"/>
          </w:tcPr>
          <w:p>
            <w:pPr>
              <w:ind w:firstLine="0" w:firstLineChars="0"/>
              <w:rPr>
                <w:rFonts w:ascii="仿宋" w:hAnsi="仿宋"/>
                <w:szCs w:val="24"/>
              </w:rPr>
            </w:pPr>
            <w:r>
              <w:rPr>
                <w:rFonts w:hint="eastAsia" w:ascii="仿宋" w:hAnsi="仿宋"/>
                <w:szCs w:val="24"/>
              </w:rPr>
              <w:t>每10分钟</w:t>
            </w:r>
            <w:r>
              <w:rPr>
                <w:rFonts w:ascii="仿宋" w:hAnsi="仿宋"/>
                <w:szCs w:val="24"/>
              </w:rPr>
              <w:t>一次</w:t>
            </w:r>
            <w:r>
              <w:rPr>
                <w:rFonts w:hint="eastAsia" w:ascii="仿宋" w:hAnsi="仿宋"/>
                <w:szCs w:val="24"/>
              </w:rPr>
              <w:t>集合竞价（含9:</w:t>
            </w:r>
            <w:r>
              <w:rPr>
                <w:rFonts w:ascii="仿宋" w:hAnsi="仿宋"/>
                <w:szCs w:val="24"/>
              </w:rPr>
              <w:t>30</w:t>
            </w:r>
            <w:r>
              <w:rPr>
                <w:rFonts w:hint="eastAsia" w:ascii="仿宋" w:hAnsi="仿宋"/>
                <w:szCs w:val="24"/>
              </w:rPr>
              <w:t>）</w:t>
            </w:r>
          </w:p>
        </w:tc>
        <w:tc>
          <w:tcPr>
            <w:tcW w:w="1984" w:type="dxa"/>
            <w:vMerge w:val="restart"/>
            <w:vAlign w:val="center"/>
          </w:tcPr>
          <w:p>
            <w:pPr>
              <w:ind w:firstLine="0" w:firstLineChars="0"/>
              <w:rPr>
                <w:rFonts w:ascii="仿宋" w:hAnsi="仿宋"/>
                <w:szCs w:val="24"/>
              </w:rPr>
            </w:pPr>
            <w:r>
              <w:rPr>
                <w:rFonts w:hint="eastAsia" w:ascii="仿宋" w:hAnsi="仿宋"/>
                <w:szCs w:val="24"/>
              </w:rPr>
              <w:t>做市</w:t>
            </w:r>
            <w:r>
              <w:rPr>
                <w:rFonts w:ascii="仿宋" w:hAnsi="仿宋"/>
                <w:szCs w:val="24"/>
              </w:rPr>
              <w:t>商</w:t>
            </w:r>
            <w:r>
              <w:rPr>
                <w:rFonts w:hint="eastAsia" w:ascii="仿宋" w:hAnsi="仿宋"/>
                <w:szCs w:val="24"/>
              </w:rPr>
              <w:t>双向</w:t>
            </w:r>
            <w:r>
              <w:rPr>
                <w:rFonts w:ascii="仿宋" w:hAnsi="仿宋"/>
                <w:szCs w:val="24"/>
              </w:rPr>
              <w:t>报价</w:t>
            </w: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10:30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11:30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11:30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中午休市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13:00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下午开市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13:00</w:t>
            </w:r>
          </w:p>
        </w:tc>
        <w:tc>
          <w:tcPr>
            <w:tcW w:w="1312" w:type="dxa"/>
            <w:vMerge w:val="restart"/>
            <w:vAlign w:val="center"/>
          </w:tcPr>
          <w:p>
            <w:pPr>
              <w:ind w:firstLine="0" w:firstLineChars="0"/>
              <w:rPr>
                <w:rFonts w:ascii="仿宋" w:hAnsi="仿宋"/>
                <w:szCs w:val="24"/>
              </w:rPr>
            </w:pPr>
            <w:r>
              <w:rPr>
                <w:rFonts w:hint="eastAsia" w:ascii="仿宋" w:hAnsi="仿宋"/>
                <w:szCs w:val="24"/>
              </w:rPr>
              <w:t>连续竞价</w:t>
            </w: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Merge w:val="restart"/>
            <w:vAlign w:val="center"/>
          </w:tcPr>
          <w:p>
            <w:pPr>
              <w:ind w:firstLine="0" w:firstLineChars="0"/>
              <w:rPr>
                <w:rFonts w:ascii="仿宋" w:hAnsi="仿宋"/>
                <w:szCs w:val="24"/>
              </w:rPr>
            </w:pPr>
            <w:r>
              <w:rPr>
                <w:rFonts w:hint="eastAsia" w:ascii="仿宋" w:hAnsi="仿宋"/>
                <w:szCs w:val="24"/>
              </w:rPr>
              <w:t>每10分钟</w:t>
            </w:r>
            <w:r>
              <w:rPr>
                <w:rFonts w:ascii="仿宋" w:hAnsi="仿宋"/>
                <w:szCs w:val="24"/>
              </w:rPr>
              <w:t>一次</w:t>
            </w:r>
            <w:r>
              <w:rPr>
                <w:rFonts w:hint="eastAsia" w:ascii="仿宋" w:hAnsi="仿宋"/>
                <w:szCs w:val="24"/>
              </w:rPr>
              <w:t>集合竞价(不含</w:t>
            </w:r>
            <w:r>
              <w:rPr>
                <w:rFonts w:ascii="仿宋" w:hAnsi="仿宋"/>
                <w:szCs w:val="24"/>
              </w:rPr>
              <w:t>13</w:t>
            </w:r>
            <w:r>
              <w:rPr>
                <w:rFonts w:hint="eastAsia" w:ascii="仿宋" w:hAnsi="仿宋"/>
                <w:szCs w:val="24"/>
              </w:rPr>
              <w:t>:</w:t>
            </w:r>
            <w:r>
              <w:rPr>
                <w:rFonts w:ascii="仿宋" w:hAnsi="仿宋"/>
                <w:szCs w:val="24"/>
              </w:rPr>
              <w:t>00)</w:t>
            </w:r>
          </w:p>
        </w:tc>
        <w:tc>
          <w:tcPr>
            <w:tcW w:w="1984" w:type="dxa"/>
            <w:vMerge w:val="restart"/>
            <w:vAlign w:val="center"/>
          </w:tcPr>
          <w:p>
            <w:pPr>
              <w:ind w:firstLine="0" w:firstLineChars="0"/>
              <w:rPr>
                <w:rFonts w:ascii="仿宋" w:hAnsi="仿宋"/>
                <w:szCs w:val="24"/>
              </w:rPr>
            </w:pPr>
            <w:r>
              <w:rPr>
                <w:rFonts w:hint="eastAsia" w:ascii="仿宋" w:hAnsi="仿宋"/>
                <w:szCs w:val="24"/>
              </w:rPr>
              <w:t>做市</w:t>
            </w:r>
            <w:r>
              <w:rPr>
                <w:rFonts w:ascii="仿宋" w:hAnsi="仿宋"/>
                <w:szCs w:val="24"/>
              </w:rPr>
              <w:t>商</w:t>
            </w:r>
            <w:r>
              <w:rPr>
                <w:rFonts w:hint="eastAsia" w:ascii="仿宋" w:hAnsi="仿宋"/>
                <w:szCs w:val="24"/>
              </w:rPr>
              <w:t>双向</w:t>
            </w:r>
            <w:r>
              <w:rPr>
                <w:rFonts w:ascii="仿宋" w:hAnsi="仿宋"/>
                <w:szCs w:val="24"/>
              </w:rPr>
              <w:t>报价</w:t>
            </w:r>
          </w:p>
        </w:tc>
        <w:tc>
          <w:tcPr>
            <w:tcW w:w="709" w:type="dxa"/>
            <w:vMerge w:val="restart"/>
            <w:vAlign w:val="center"/>
          </w:tcPr>
          <w:p>
            <w:pPr>
              <w:ind w:firstLine="0" w:firstLineChars="0"/>
              <w:rPr>
                <w:rFonts w:ascii="仿宋" w:hAnsi="仿宋"/>
                <w:szCs w:val="24"/>
              </w:rPr>
            </w:pPr>
            <w:r>
              <w:rPr>
                <w:rFonts w:hint="eastAsia" w:ascii="仿宋" w:hAnsi="仿宋"/>
                <w:szCs w:val="24"/>
              </w:rPr>
              <w:t>询价</w:t>
            </w:r>
            <w:r>
              <w:rPr>
                <w:rFonts w:ascii="仿宋" w:hAnsi="仿宋"/>
                <w:szCs w:val="24"/>
              </w:rPr>
              <w:t>申报</w:t>
            </w:r>
          </w:p>
        </w:tc>
        <w:tc>
          <w:tcPr>
            <w:tcW w:w="709" w:type="dxa"/>
            <w:vMerge w:val="restart"/>
            <w:vAlign w:val="center"/>
          </w:tcPr>
          <w:p>
            <w:pPr>
              <w:ind w:firstLine="0" w:firstLineChars="0"/>
              <w:rPr>
                <w:rFonts w:ascii="仿宋" w:hAnsi="仿宋"/>
                <w:szCs w:val="24"/>
              </w:rPr>
            </w:pPr>
            <w:r>
              <w:rPr>
                <w:rFonts w:ascii="仿宋" w:hAnsi="仿宋"/>
                <w:szCs w:val="24"/>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99" w:type="dxa"/>
            <w:vAlign w:val="center"/>
          </w:tcPr>
          <w:p>
            <w:pPr>
              <w:ind w:firstLine="0" w:firstLineChars="0"/>
              <w:jc w:val="center"/>
              <w:rPr>
                <w:rFonts w:cs="Times New Roman"/>
                <w:szCs w:val="24"/>
              </w:rPr>
            </w:pPr>
            <w:r>
              <w:rPr>
                <w:rFonts w:cs="Times New Roman"/>
                <w:szCs w:val="24"/>
              </w:rPr>
              <w:t>14:00</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14:57</w:t>
            </w:r>
          </w:p>
        </w:tc>
        <w:tc>
          <w:tcPr>
            <w:tcW w:w="1312" w:type="dxa"/>
            <w:vMerge w:val="continue"/>
            <w:vAlign w:val="center"/>
          </w:tcPr>
          <w:p>
            <w:pPr>
              <w:ind w:firstLine="0" w:firstLineChars="0"/>
              <w:rPr>
                <w:rFonts w:ascii="仿宋" w:hAnsi="仿宋"/>
                <w:szCs w:val="24"/>
              </w:rPr>
            </w:pPr>
          </w:p>
        </w:tc>
        <w:tc>
          <w:tcPr>
            <w:tcW w:w="1275" w:type="dxa"/>
            <w:vAlign w:val="center"/>
          </w:tcPr>
          <w:p>
            <w:pPr>
              <w:ind w:firstLine="0" w:firstLineChars="0"/>
              <w:rPr>
                <w:rFonts w:ascii="仿宋" w:hAnsi="仿宋"/>
                <w:szCs w:val="24"/>
              </w:rPr>
            </w:pPr>
            <w:r>
              <w:rPr>
                <w:rFonts w:hint="eastAsia" w:ascii="仿宋" w:hAnsi="仿宋"/>
                <w:szCs w:val="24"/>
              </w:rPr>
              <w:t>——</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15:00</w:t>
            </w:r>
          </w:p>
        </w:tc>
        <w:tc>
          <w:tcPr>
            <w:tcW w:w="1312" w:type="dxa"/>
            <w:vAlign w:val="center"/>
          </w:tcPr>
          <w:p>
            <w:pPr>
              <w:ind w:firstLine="0" w:firstLineChars="0"/>
              <w:rPr>
                <w:rFonts w:ascii="仿宋" w:hAnsi="仿宋"/>
                <w:szCs w:val="24"/>
              </w:rPr>
            </w:pPr>
            <w:r>
              <w:rPr>
                <w:rFonts w:hint="eastAsia" w:ascii="仿宋" w:hAnsi="仿宋"/>
                <w:szCs w:val="24"/>
              </w:rPr>
              <w:t>收盘集合竞价</w:t>
            </w:r>
          </w:p>
        </w:tc>
        <w:tc>
          <w:tcPr>
            <w:tcW w:w="1275" w:type="dxa"/>
            <w:vAlign w:val="center"/>
          </w:tcPr>
          <w:p>
            <w:pPr>
              <w:ind w:firstLine="0" w:firstLineChars="0"/>
              <w:rPr>
                <w:rFonts w:ascii="仿宋" w:hAnsi="仿宋"/>
                <w:szCs w:val="24"/>
              </w:rPr>
            </w:pPr>
            <w:r>
              <w:rPr>
                <w:rFonts w:hint="eastAsia" w:ascii="仿宋" w:hAnsi="仿宋"/>
                <w:szCs w:val="24"/>
              </w:rPr>
              <w:t>集合竞价</w:t>
            </w:r>
          </w:p>
        </w:tc>
        <w:tc>
          <w:tcPr>
            <w:tcW w:w="1418" w:type="dxa"/>
            <w:vMerge w:val="continue"/>
            <w:vAlign w:val="center"/>
          </w:tcPr>
          <w:p>
            <w:pPr>
              <w:ind w:firstLine="0" w:firstLineChars="0"/>
              <w:rPr>
                <w:rFonts w:ascii="仿宋" w:hAnsi="仿宋"/>
                <w:szCs w:val="24"/>
              </w:rPr>
            </w:pPr>
          </w:p>
        </w:tc>
        <w:tc>
          <w:tcPr>
            <w:tcW w:w="1984" w:type="dxa"/>
            <w:vMerge w:val="continue"/>
            <w:vAlign w:val="center"/>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c>
          <w:tcPr>
            <w:tcW w:w="709"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15:00-15:30</w:t>
            </w:r>
          </w:p>
        </w:tc>
        <w:tc>
          <w:tcPr>
            <w:tcW w:w="4005" w:type="dxa"/>
            <w:gridSpan w:val="3"/>
            <w:vAlign w:val="center"/>
          </w:tcPr>
          <w:p>
            <w:pPr>
              <w:ind w:firstLine="0" w:firstLineChars="0"/>
              <w:jc w:val="center"/>
              <w:rPr>
                <w:rFonts w:ascii="仿宋" w:hAnsi="仿宋"/>
                <w:szCs w:val="24"/>
              </w:rPr>
            </w:pPr>
            <w:r>
              <w:rPr>
                <w:rFonts w:hint="eastAsia" w:ascii="仿宋" w:hAnsi="仿宋"/>
                <w:szCs w:val="24"/>
              </w:rPr>
              <w:t>大宗交易</w:t>
            </w:r>
          </w:p>
        </w:tc>
        <w:tc>
          <w:tcPr>
            <w:tcW w:w="1984" w:type="dxa"/>
            <w:vAlign w:val="center"/>
          </w:tcPr>
          <w:p>
            <w:pPr>
              <w:ind w:firstLine="0" w:firstLineChars="0"/>
              <w:rPr>
                <w:rFonts w:ascii="仿宋" w:hAnsi="仿宋"/>
                <w:szCs w:val="24"/>
              </w:rPr>
            </w:pPr>
            <w:r>
              <w:rPr>
                <w:rFonts w:hint="eastAsia" w:ascii="仿宋" w:hAnsi="仿宋"/>
                <w:szCs w:val="24"/>
              </w:rPr>
              <w:t>大宗交易、</w:t>
            </w:r>
            <w:r>
              <w:rPr>
                <w:rFonts w:ascii="仿宋" w:hAnsi="仿宋"/>
                <w:szCs w:val="24"/>
              </w:rPr>
              <w:t>做市商</w:t>
            </w:r>
            <w:r>
              <w:rPr>
                <w:rFonts w:hint="eastAsia" w:ascii="仿宋" w:hAnsi="仿宋"/>
                <w:szCs w:val="24"/>
              </w:rPr>
              <w:t>互报实时</w:t>
            </w:r>
            <w:r>
              <w:rPr>
                <w:rFonts w:ascii="仿宋" w:hAnsi="仿宋"/>
                <w:szCs w:val="24"/>
              </w:rPr>
              <w:t>确认</w:t>
            </w:r>
          </w:p>
        </w:tc>
        <w:tc>
          <w:tcPr>
            <w:tcW w:w="1418" w:type="dxa"/>
            <w:gridSpan w:val="2"/>
            <w:tcBorders>
              <w:tl2br w:val="nil"/>
            </w:tcBorders>
            <w:vAlign w:val="center"/>
          </w:tcPr>
          <w:p>
            <w:pPr>
              <w:ind w:firstLine="0" w:firstLineChars="0"/>
              <w:rPr>
                <w:rFonts w:ascii="仿宋" w:hAnsi="仿宋"/>
                <w:szCs w:val="24"/>
              </w:rPr>
            </w:pPr>
            <w:r>
              <w:rPr>
                <w:rFonts w:hint="eastAsia" w:ascii="仿宋" w:hAnsi="仿宋"/>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99" w:type="dxa"/>
            <w:vAlign w:val="center"/>
          </w:tcPr>
          <w:p>
            <w:pPr>
              <w:ind w:firstLine="0" w:firstLineChars="0"/>
              <w:jc w:val="center"/>
              <w:rPr>
                <w:rFonts w:cs="Times New Roman"/>
                <w:szCs w:val="24"/>
              </w:rPr>
            </w:pPr>
            <w:r>
              <w:rPr>
                <w:rFonts w:cs="Times New Roman"/>
                <w:szCs w:val="24"/>
              </w:rPr>
              <w:t>15:30</w:t>
            </w:r>
          </w:p>
        </w:tc>
        <w:tc>
          <w:tcPr>
            <w:tcW w:w="7407" w:type="dxa"/>
            <w:gridSpan w:val="6"/>
            <w:vAlign w:val="center"/>
          </w:tcPr>
          <w:p>
            <w:pPr>
              <w:ind w:firstLine="0" w:firstLineChars="0"/>
              <w:jc w:val="center"/>
              <w:rPr>
                <w:rFonts w:ascii="仿宋" w:hAnsi="仿宋"/>
                <w:szCs w:val="24"/>
              </w:rPr>
            </w:pPr>
            <w:r>
              <w:rPr>
                <w:rFonts w:hint="eastAsia" w:ascii="仿宋" w:hAnsi="仿宋"/>
                <w:szCs w:val="24"/>
              </w:rPr>
              <w:t>闭市</w:t>
            </w:r>
          </w:p>
        </w:tc>
      </w:tr>
    </w:tbl>
    <w:p>
      <w:pPr>
        <w:spacing w:line="360" w:lineRule="auto"/>
        <w:ind w:firstLine="600"/>
        <w:jc w:val="both"/>
        <w:rPr>
          <w:rFonts w:cs="Times New Roman"/>
          <w:color w:val="000000" w:themeColor="text1"/>
          <w:sz w:val="30"/>
          <w:szCs w:val="30"/>
          <w14:textFill>
            <w14:solidFill>
              <w14:schemeClr w14:val="tx1"/>
            </w14:solidFill>
          </w14:textFill>
        </w:rPr>
      </w:pPr>
    </w:p>
    <w:p>
      <w:pPr>
        <w:pStyle w:val="72"/>
        <w:numPr>
          <w:ilvl w:val="0"/>
          <w:numId w:val="6"/>
        </w:numPr>
        <w:spacing w:before="163" w:after="163"/>
        <w:ind w:firstLine="600"/>
      </w:pPr>
      <w:bookmarkStart w:id="40" w:name="_Toc376597522"/>
      <w:bookmarkStart w:id="41" w:name="_Toc139101911"/>
      <w:bookmarkStart w:id="42" w:name="_Toc119341901"/>
      <w:r>
        <w:t>测试内容</w:t>
      </w:r>
      <w:bookmarkEnd w:id="40"/>
      <w:bookmarkEnd w:id="41"/>
      <w:bookmarkEnd w:id="42"/>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按照《交易支持平台数据接口规范(V2.2)》《北京证券交易所市场参与者技术系统变更指南之融资融券业务（V1.2）》《交易支持平台市场参与者技术系统变更指南之分层信息揭示（V1.2）》《交易支持平台市场参与者技术系统变更指南之适当性差异化管理（V1.3）》等技术规范的要求对</w:t>
      </w:r>
      <w:r>
        <w:rPr>
          <w:rFonts w:cs="Times New Roman"/>
          <w:color w:val="000000" w:themeColor="text1"/>
          <w:sz w:val="30"/>
          <w:szCs w:val="30"/>
          <w:lang w:val="en"/>
          <w14:textFill>
            <w14:solidFill>
              <w14:schemeClr w14:val="tx1"/>
            </w14:solidFill>
          </w14:textFill>
        </w:rPr>
        <w:t>融资融券等业务</w:t>
      </w:r>
      <w:r>
        <w:rPr>
          <w:rFonts w:hint="eastAsia" w:cs="Times New Roman"/>
          <w:color w:val="000000" w:themeColor="text1"/>
          <w:sz w:val="30"/>
          <w:szCs w:val="30"/>
          <w:lang w:val="en"/>
          <w14:textFill>
            <w14:solidFill>
              <w14:schemeClr w14:val="tx1"/>
            </w14:solidFill>
          </w14:textFill>
        </w:rPr>
        <w:t>优化</w:t>
      </w:r>
      <w:r>
        <w:rPr>
          <w:rFonts w:hint="eastAsia" w:cs="Times New Roman"/>
          <w:color w:val="000000" w:themeColor="text1"/>
          <w:sz w:val="30"/>
          <w:szCs w:val="30"/>
          <w14:textFill>
            <w14:solidFill>
              <w14:schemeClr w14:val="tx1"/>
            </w14:solidFill>
          </w14:textFill>
        </w:rPr>
        <w:t>进行改造，达到上线要求。</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1．验证北交所能调整全市场当日可融资、当日可融券状态并通过证券信息库向市场发布。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验证开市期间，北交所能调整全市场或单只证券的当日可融资或当日可融券状态，并及时向市场发布。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验证北交所每日可通过FDEP向市场下发北证50成份股信息和担保物集中度信息。</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w:t>
      </w:r>
      <w:r>
        <w:rPr>
          <w:rFonts w:hint="eastAsia" w:cs="Times New Roman"/>
          <w:color w:val="000000" w:themeColor="text1"/>
          <w:sz w:val="30"/>
          <w:szCs w:val="30"/>
          <w:lang w:eastAsia="zh-CN"/>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取消分层公告文件和标的券信息公告文件，改为通过证券信息库发布分层信息。</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2．验证深证通能够正确转发证券信息库等相关行情文件。</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3．验证证券公司相关技术系统、已开通</w:t>
      </w:r>
      <w:r>
        <w:rPr>
          <w:rFonts w:hint="eastAsia" w:cs="Times New Roman"/>
          <w:color w:val="000000" w:themeColor="text1"/>
          <w:sz w:val="30"/>
          <w:szCs w:val="30"/>
          <w:lang w:val="en"/>
          <w14:textFill>
            <w14:solidFill>
              <w14:schemeClr w14:val="tx1"/>
            </w14:solidFill>
          </w14:textFill>
        </w:rPr>
        <w:t>交易权限的基金公司及其托管机构相关技术系统能够正确处理证券信息库等相关行情文件。</w:t>
      </w:r>
      <w:r>
        <w:rPr>
          <w:rFonts w:hint="eastAsia" w:cs="Times New Roman"/>
          <w:color w:val="000000" w:themeColor="text1"/>
          <w:sz w:val="30"/>
          <w:szCs w:val="30"/>
          <w14:textFill>
            <w14:solidFill>
              <w14:schemeClr w14:val="tx1"/>
            </w14:solidFill>
          </w14:textFill>
        </w:rPr>
        <w:t>适当性接口文件中投资者姓名字段的长度调整为120字节，能够正常报送适当性数据并正确接收处理</w:t>
      </w:r>
      <w:r>
        <w:rPr>
          <w:rFonts w:hint="eastAsia" w:cs="Times New Roman"/>
          <w:color w:val="000000" w:themeColor="text1"/>
          <w:sz w:val="30"/>
          <w:szCs w:val="30"/>
          <w:lang w:eastAsia="zh-CN"/>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返回的检查结果、确认结果和汇总结果等相关文件。能够正确处理分层数据。</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 已开展北交所融资融券业务的证券公司技术系统能够正确、及时更新证券是否为融资标的、是否为融券标的、当日可融资和当日可融券状态，并据此控制投资者融资融券业务。每个交易日能够正确报送两融余额数据和违约数据，并能正确接收处理北交所返回的检查结果、确认结果和汇总结果等相关文件。能够正确接收并处理北证50成份股信息和担保物集中度信息。</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5．验证各提供北交所、全国股转系统行情服务的信息商行情和证券信息等数据揭示正常。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6．验证北交所、全国股转系统、中国结算、中证指数、深证通、证券公司、</w:t>
      </w:r>
      <w:r>
        <w:rPr>
          <w:rFonts w:hint="eastAsia" w:cs="Times New Roman"/>
          <w:color w:val="000000" w:themeColor="text1"/>
          <w:sz w:val="30"/>
          <w:szCs w:val="30"/>
          <w:lang w:val="en"/>
          <w14:textFill>
            <w14:solidFill>
              <w14:schemeClr w14:val="tx1"/>
            </w14:solidFill>
          </w14:textFill>
        </w:rPr>
        <w:t>基金公司及其托管机构</w:t>
      </w:r>
      <w:r>
        <w:rPr>
          <w:rFonts w:hint="eastAsia" w:cs="Times New Roman"/>
          <w:color w:val="000000" w:themeColor="text1"/>
          <w:sz w:val="30"/>
          <w:szCs w:val="30"/>
          <w14:textFill>
            <w14:solidFill>
              <w14:schemeClr w14:val="tx1"/>
            </w14:solidFill>
          </w14:textFill>
        </w:rPr>
        <w:t>等现有各项交易业务运行正常。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2"/>
        <w:numPr>
          <w:ilvl w:val="0"/>
          <w:numId w:val="6"/>
        </w:numPr>
        <w:spacing w:before="163" w:after="163"/>
        <w:ind w:firstLine="600"/>
      </w:pPr>
      <w:bookmarkStart w:id="43" w:name="_Toc119341902"/>
      <w:bookmarkStart w:id="44" w:name="_Toc139101912"/>
      <w:r>
        <w:t>测试场景及要求</w:t>
      </w:r>
      <w:bookmarkEnd w:id="43"/>
      <w:bookmarkEnd w:id="44"/>
    </w:p>
    <w:p>
      <w:pPr>
        <w:pStyle w:val="73"/>
        <w:numPr>
          <w:ilvl w:val="0"/>
          <w:numId w:val="7"/>
        </w:numPr>
        <w:spacing w:before="163" w:after="163"/>
        <w:ind w:firstLine="602"/>
        <w:rPr>
          <w:sz w:val="30"/>
          <w:szCs w:val="30"/>
        </w:rPr>
      </w:pPr>
      <w:bookmarkStart w:id="45" w:name="_Toc119341903"/>
      <w:bookmarkStart w:id="46" w:name="_Toc139101913"/>
      <w:r>
        <w:rPr>
          <w:rFonts w:hint="eastAsia"/>
          <w:sz w:val="30"/>
          <w:szCs w:val="30"/>
        </w:rPr>
        <w:t>测试场景</w:t>
      </w:r>
      <w:bookmarkEnd w:id="45"/>
      <w:bookmarkEnd w:id="46"/>
    </w:p>
    <w:tbl>
      <w:tblPr>
        <w:tblStyle w:val="37"/>
        <w:tblpPr w:leftFromText="180" w:rightFromText="180" w:vertAnchor="text" w:horzAnchor="margin" w:tblpXSpec="center" w:tblpY="1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344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665" w:type="dxa"/>
            <w:gridSpan w:val="2"/>
            <w:shd w:val="clear" w:color="auto" w:fill="D8D8D8" w:themeFill="background1" w:themeFillShade="D9"/>
          </w:tcPr>
          <w:p>
            <w:pPr>
              <w:spacing w:before="187" w:line="312" w:lineRule="auto"/>
              <w:ind w:firstLine="0" w:firstLineChars="0"/>
              <w:jc w:val="center"/>
              <w:rPr>
                <w:rFonts w:ascii="楷体" w:hAnsi="楷体" w:eastAsia="楷体"/>
                <w:b/>
                <w:szCs w:val="21"/>
              </w:rPr>
            </w:pPr>
            <w:r>
              <w:rPr>
                <w:rFonts w:hint="eastAsia" w:ascii="楷体" w:hAnsi="楷体" w:eastAsia="楷体"/>
                <w:b/>
                <w:szCs w:val="21"/>
              </w:rPr>
              <w:t>业务</w:t>
            </w:r>
            <w:r>
              <w:rPr>
                <w:rFonts w:ascii="楷体" w:hAnsi="楷体" w:eastAsia="楷体"/>
                <w:b/>
                <w:szCs w:val="21"/>
              </w:rPr>
              <w:t>类型</w:t>
            </w:r>
          </w:p>
        </w:tc>
        <w:tc>
          <w:tcPr>
            <w:tcW w:w="2835" w:type="dxa"/>
            <w:shd w:val="clear" w:color="auto" w:fill="D8D8D8" w:themeFill="background1" w:themeFillShade="D9"/>
          </w:tcPr>
          <w:p>
            <w:pPr>
              <w:spacing w:before="187" w:line="312" w:lineRule="auto"/>
              <w:ind w:firstLine="0" w:firstLineChars="0"/>
              <w:jc w:val="center"/>
              <w:rPr>
                <w:rFonts w:ascii="楷体" w:hAnsi="楷体" w:eastAsia="楷体"/>
                <w:b/>
                <w:szCs w:val="21"/>
              </w:rPr>
            </w:pPr>
            <w:r>
              <w:rPr>
                <w:rFonts w:hint="eastAsia" w:ascii="楷体" w:hAnsi="楷体" w:eastAsia="楷体"/>
                <w:b/>
                <w:szCs w:val="21"/>
              </w:rPr>
              <w:t>证券</w:t>
            </w:r>
            <w:r>
              <w:rPr>
                <w:rFonts w:ascii="楷体" w:hAnsi="楷体" w:eastAsia="楷体"/>
                <w:b/>
                <w:szCs w:val="21"/>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2217" w:type="dxa"/>
            <w:vMerge w:val="restart"/>
            <w:shd w:val="clear" w:color="auto" w:fill="FFFFFF" w:themeFill="background1"/>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融资融券业务场景</w:t>
            </w:r>
          </w:p>
        </w:tc>
        <w:tc>
          <w:tcPr>
            <w:tcW w:w="3448" w:type="dxa"/>
            <w:shd w:val="clear" w:color="auto" w:fill="FFFFFF" w:themeFill="background1"/>
            <w:vAlign w:val="center"/>
          </w:tcPr>
          <w:p>
            <w:pPr>
              <w:spacing w:before="187"/>
              <w:ind w:firstLine="0" w:firstLineChars="0"/>
              <w:rPr>
                <w:rFonts w:ascii="仿宋" w:hAnsi="仿宋"/>
                <w:szCs w:val="24"/>
              </w:rPr>
            </w:pPr>
            <w:r>
              <w:rPr>
                <w:rFonts w:ascii="仿宋" w:hAnsi="仿宋" w:cs="Times New Roman"/>
                <w:color w:val="000000" w:themeColor="text1"/>
                <w:szCs w:val="24"/>
                <w14:textFill>
                  <w14:solidFill>
                    <w14:schemeClr w14:val="tx1"/>
                  </w14:solidFill>
                </w14:textFill>
              </w:rPr>
              <w:t>融资融券标的证券和担保证券日间紧急</w:t>
            </w:r>
            <w:r>
              <w:rPr>
                <w:rFonts w:hint="eastAsia" w:ascii="仿宋" w:hAnsi="仿宋" w:cs="Times New Roman"/>
                <w:color w:val="000000" w:themeColor="text1"/>
                <w:szCs w:val="24"/>
                <w14:textFill>
                  <w14:solidFill>
                    <w14:schemeClr w14:val="tx1"/>
                  </w14:solidFill>
                </w14:textFill>
              </w:rPr>
              <w:t>停牌</w:t>
            </w:r>
          </w:p>
        </w:tc>
        <w:tc>
          <w:tcPr>
            <w:tcW w:w="2835" w:type="dxa"/>
            <w:shd w:val="clear" w:color="auto" w:fill="FFFFFF" w:themeFill="background1"/>
            <w:vAlign w:val="center"/>
          </w:tcPr>
          <w:p>
            <w:pPr>
              <w:ind w:firstLine="0" w:firstLineChars="0"/>
              <w:rPr>
                <w:rFonts w:cs="Times New Roman"/>
                <w:szCs w:val="24"/>
              </w:rPr>
            </w:pPr>
            <w:r>
              <w:rPr>
                <w:rFonts w:cs="Times New Roman"/>
                <w:szCs w:val="24"/>
              </w:rPr>
              <w:t>标的券</w:t>
            </w:r>
            <w:r>
              <w:rPr>
                <w:rFonts w:hint="eastAsia" w:cs="Times New Roman"/>
                <w:szCs w:val="24"/>
              </w:rPr>
              <w:t>：831152，832225</w:t>
            </w:r>
          </w:p>
          <w:p>
            <w:pPr>
              <w:ind w:firstLine="0" w:firstLineChars="0"/>
              <w:rPr>
                <w:rFonts w:cs="Times New Roman"/>
                <w:szCs w:val="24"/>
              </w:rPr>
            </w:pPr>
            <w:r>
              <w:rPr>
                <w:rFonts w:cs="Times New Roman"/>
                <w:szCs w:val="24"/>
              </w:rPr>
              <w:t>担保券</w:t>
            </w:r>
            <w:r>
              <w:rPr>
                <w:rFonts w:hint="eastAsia" w:cs="Times New Roman"/>
                <w:szCs w:val="24"/>
              </w:rPr>
              <w:t>：872808，838402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217" w:type="dxa"/>
            <w:vMerge w:val="continue"/>
            <w:shd w:val="clear" w:color="auto" w:fill="FFFFFF" w:themeFill="background1"/>
            <w:vAlign w:val="center"/>
          </w:tcPr>
          <w:p>
            <w:pPr>
              <w:ind w:firstLine="0" w:firstLineChars="0"/>
              <w:rPr>
                <w:rFonts w:ascii="仿宋" w:hAnsi="仿宋" w:cs="Times New Roman"/>
                <w:color w:val="000000" w:themeColor="text1"/>
                <w:szCs w:val="24"/>
                <w14:textFill>
                  <w14:solidFill>
                    <w14:schemeClr w14:val="tx1"/>
                  </w14:solidFill>
                </w14:textFill>
              </w:rPr>
            </w:pPr>
          </w:p>
        </w:tc>
        <w:tc>
          <w:tcPr>
            <w:tcW w:w="3448" w:type="dxa"/>
            <w:vMerge w:val="restart"/>
            <w:shd w:val="clear" w:color="auto" w:fill="FFFFFF" w:themeFill="background1"/>
            <w:vAlign w:val="center"/>
          </w:tcPr>
          <w:p>
            <w:pPr>
              <w:spacing w:before="187" w:line="312" w:lineRule="auto"/>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日间紧急暂停融资融券业务</w:t>
            </w:r>
          </w:p>
        </w:tc>
        <w:tc>
          <w:tcPr>
            <w:tcW w:w="2835" w:type="dxa"/>
            <w:shd w:val="clear" w:color="auto" w:fill="FFFFFF" w:themeFill="background1"/>
            <w:vAlign w:val="center"/>
          </w:tcPr>
          <w:p>
            <w:pPr>
              <w:ind w:firstLine="0" w:firstLineChars="0"/>
              <w:rPr>
                <w:rFonts w:cs="Times New Roman"/>
                <w:szCs w:val="24"/>
              </w:rPr>
            </w:pPr>
            <w:r>
              <w:rPr>
                <w:rFonts w:cs="Times New Roman"/>
                <w:szCs w:val="24"/>
              </w:rPr>
              <w:t>暂停可融资</w:t>
            </w:r>
            <w:r>
              <w:rPr>
                <w:rFonts w:hint="eastAsia" w:cs="Times New Roman"/>
                <w:szCs w:val="24"/>
              </w:rPr>
              <w:t>：839680，831832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217" w:type="dxa"/>
            <w:vMerge w:val="continue"/>
            <w:shd w:val="clear" w:color="auto" w:fill="FFFFFF" w:themeFill="background1"/>
            <w:vAlign w:val="center"/>
          </w:tcPr>
          <w:p>
            <w:pPr>
              <w:ind w:firstLine="0" w:firstLineChars="0"/>
              <w:rPr>
                <w:rFonts w:ascii="仿宋" w:hAnsi="仿宋" w:cs="Times New Roman"/>
                <w:color w:val="000000" w:themeColor="text1"/>
                <w:szCs w:val="24"/>
                <w14:textFill>
                  <w14:solidFill>
                    <w14:schemeClr w14:val="tx1"/>
                  </w14:solidFill>
                </w14:textFill>
              </w:rPr>
            </w:pPr>
          </w:p>
        </w:tc>
        <w:tc>
          <w:tcPr>
            <w:tcW w:w="3448" w:type="dxa"/>
            <w:vMerge w:val="continue"/>
            <w:shd w:val="clear" w:color="auto" w:fill="FFFFFF" w:themeFill="background1"/>
            <w:vAlign w:val="center"/>
          </w:tcPr>
          <w:p>
            <w:pPr>
              <w:spacing w:before="187" w:line="312" w:lineRule="auto"/>
              <w:ind w:firstLine="0" w:firstLineChars="0"/>
              <w:rPr>
                <w:rFonts w:ascii="仿宋" w:hAnsi="仿宋" w:cs="Times New Roman"/>
                <w:color w:val="000000" w:themeColor="text1"/>
                <w:szCs w:val="24"/>
                <w14:textFill>
                  <w14:solidFill>
                    <w14:schemeClr w14:val="tx1"/>
                  </w14:solidFill>
                </w14:textFill>
              </w:rPr>
            </w:pPr>
          </w:p>
        </w:tc>
        <w:tc>
          <w:tcPr>
            <w:tcW w:w="2835" w:type="dxa"/>
            <w:shd w:val="clear" w:color="auto" w:fill="FFFFFF" w:themeFill="background1"/>
            <w:vAlign w:val="center"/>
          </w:tcPr>
          <w:p>
            <w:pPr>
              <w:ind w:firstLine="0" w:firstLineChars="0"/>
              <w:rPr>
                <w:rFonts w:cs="Times New Roman"/>
                <w:szCs w:val="24"/>
              </w:rPr>
            </w:pPr>
            <w:r>
              <w:rPr>
                <w:rFonts w:cs="Times New Roman"/>
                <w:szCs w:val="24"/>
              </w:rPr>
              <w:t>暂停可融券</w:t>
            </w:r>
            <w:r>
              <w:rPr>
                <w:rFonts w:hint="eastAsia" w:cs="Times New Roman"/>
                <w:szCs w:val="24"/>
              </w:rPr>
              <w:t>：836239，832735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217" w:type="dxa"/>
            <w:shd w:val="clear" w:color="auto" w:fill="auto"/>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3448" w:type="dxa"/>
            <w:shd w:val="clear" w:color="auto" w:fill="auto"/>
            <w:vAlign w:val="center"/>
          </w:tcPr>
          <w:p>
            <w:pPr>
              <w:spacing w:before="187"/>
              <w:ind w:firstLine="0" w:firstLineChars="0"/>
              <w:rPr>
                <w:rFonts w:cs="Times New Roman"/>
                <w:szCs w:val="24"/>
              </w:rPr>
            </w:pPr>
            <w:r>
              <w:rPr>
                <w:rFonts w:cs="Times New Roman"/>
                <w:szCs w:val="24"/>
              </w:rPr>
              <w:t>交易日8:30通过</w:t>
            </w:r>
            <w:r>
              <w:rPr>
                <w:rFonts w:hint="eastAsia" w:cs="Times New Roman"/>
                <w:szCs w:val="24"/>
              </w:rPr>
              <w:t>证券信息库</w:t>
            </w:r>
            <w:r>
              <w:rPr>
                <w:rFonts w:cs="Times New Roman"/>
                <w:szCs w:val="24"/>
              </w:rPr>
              <w:t>发布</w:t>
            </w:r>
            <w:r>
              <w:rPr>
                <w:rFonts w:hint="eastAsia" w:cs="Times New Roman"/>
                <w:szCs w:val="24"/>
              </w:rPr>
              <w:t>证券的分层信息、是否为融资标的、是否为融券标的、当日可融资和当日可融券状态，已取消分层公告文件和标的券信息公告文件</w:t>
            </w:r>
          </w:p>
        </w:tc>
        <w:tc>
          <w:tcPr>
            <w:tcW w:w="2835" w:type="dxa"/>
            <w:tcBorders>
              <w:bottom w:val="single" w:color="auto" w:sz="4" w:space="0"/>
              <w:tl2br w:val="single" w:color="auto" w:sz="4" w:space="0"/>
            </w:tcBorders>
            <w:shd w:val="clear" w:color="auto" w:fill="auto"/>
            <w:vAlign w:val="center"/>
          </w:tcPr>
          <w:p>
            <w:pPr>
              <w:ind w:firstLine="0" w:firstLineChars="0"/>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217" w:type="dxa"/>
            <w:shd w:val="clear" w:color="auto" w:fill="auto"/>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lang w:val="en"/>
                <w14:textFill>
                  <w14:solidFill>
                    <w14:schemeClr w14:val="tx1"/>
                  </w14:solidFill>
                </w14:textFill>
              </w:rPr>
              <w:t>数据报送</w:t>
            </w:r>
          </w:p>
        </w:tc>
        <w:tc>
          <w:tcPr>
            <w:tcW w:w="3448" w:type="dxa"/>
            <w:shd w:val="clear" w:color="auto" w:fill="auto"/>
            <w:vAlign w:val="center"/>
          </w:tcPr>
          <w:p>
            <w:pPr>
              <w:spacing w:before="187"/>
              <w:ind w:firstLine="0" w:firstLineChars="0"/>
              <w:rPr>
                <w:rFonts w:cs="Times New Roman"/>
                <w:szCs w:val="24"/>
              </w:rPr>
            </w:pPr>
            <w:r>
              <w:rPr>
                <w:rFonts w:hint="eastAsia" w:cs="Times New Roman"/>
                <w:szCs w:val="24"/>
              </w:rPr>
              <w:t>通过FDEP报送适当性数据</w:t>
            </w:r>
          </w:p>
          <w:p>
            <w:pPr>
              <w:spacing w:before="187"/>
              <w:ind w:firstLine="0" w:firstLineChars="0"/>
              <w:rPr>
                <w:rFonts w:cs="Times New Roman"/>
                <w:szCs w:val="24"/>
              </w:rPr>
            </w:pPr>
            <w:r>
              <w:rPr>
                <w:rFonts w:hint="eastAsia" w:cs="Times New Roman"/>
                <w:szCs w:val="24"/>
              </w:rPr>
              <w:t>已开展北交所融资融券业务的证券公司每个交易日</w:t>
            </w:r>
            <w:r>
              <w:rPr>
                <w:rFonts w:cs="Times New Roman"/>
                <w:szCs w:val="24"/>
              </w:rPr>
              <w:t>通过FDEP报送融资融券</w:t>
            </w:r>
            <w:r>
              <w:rPr>
                <w:rFonts w:hint="eastAsia" w:cs="Times New Roman"/>
                <w:szCs w:val="24"/>
              </w:rPr>
              <w:t>余额</w:t>
            </w:r>
            <w:r>
              <w:rPr>
                <w:rFonts w:cs="Times New Roman"/>
                <w:szCs w:val="24"/>
              </w:rPr>
              <w:t>数据</w:t>
            </w:r>
            <w:r>
              <w:rPr>
                <w:rFonts w:hint="eastAsia" w:cs="Times New Roman"/>
                <w:szCs w:val="24"/>
              </w:rPr>
              <w:t>和</w:t>
            </w:r>
            <w:r>
              <w:rPr>
                <w:rFonts w:cs="Times New Roman"/>
                <w:szCs w:val="24"/>
              </w:rPr>
              <w:t>违约数据</w:t>
            </w:r>
          </w:p>
        </w:tc>
        <w:tc>
          <w:tcPr>
            <w:tcW w:w="2835" w:type="dxa"/>
            <w:tcBorders>
              <w:bottom w:val="single" w:color="auto" w:sz="4" w:space="0"/>
              <w:tl2br w:val="single" w:color="auto" w:sz="4" w:space="0"/>
            </w:tcBorders>
            <w:shd w:val="clear" w:color="auto" w:fill="auto"/>
            <w:vAlign w:val="center"/>
          </w:tcPr>
          <w:p>
            <w:pPr>
              <w:ind w:firstLine="0" w:firstLineChars="0"/>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217" w:type="dxa"/>
            <w:shd w:val="clear" w:color="auto" w:fill="auto"/>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lang w:val="en"/>
                <w14:textFill>
                  <w14:solidFill>
                    <w14:schemeClr w14:val="tx1"/>
                  </w14:solidFill>
                </w14:textFill>
              </w:rPr>
              <w:t>数据接收处理</w:t>
            </w:r>
          </w:p>
        </w:tc>
        <w:tc>
          <w:tcPr>
            <w:tcW w:w="3448" w:type="dxa"/>
            <w:shd w:val="clear" w:color="auto" w:fill="auto"/>
            <w:vAlign w:val="center"/>
          </w:tcPr>
          <w:p>
            <w:pPr>
              <w:spacing w:before="187"/>
              <w:ind w:firstLine="0" w:firstLineChars="0"/>
              <w:rPr>
                <w:rFonts w:cs="Times New Roman"/>
                <w:szCs w:val="24"/>
              </w:rPr>
            </w:pPr>
            <w:r>
              <w:rPr>
                <w:rFonts w:hint="eastAsia" w:cs="Times New Roman"/>
                <w:szCs w:val="24"/>
              </w:rPr>
              <w:t>通过FDEP接收适当性数据的检查结果、确认结果和汇总结果等相关文件</w:t>
            </w:r>
          </w:p>
          <w:p>
            <w:pPr>
              <w:spacing w:before="187"/>
              <w:ind w:firstLine="0" w:firstLineChars="0"/>
              <w:rPr>
                <w:rFonts w:cs="Times New Roman"/>
                <w:szCs w:val="24"/>
              </w:rPr>
            </w:pPr>
            <w:r>
              <w:rPr>
                <w:rFonts w:hint="eastAsia" w:cs="Times New Roman"/>
                <w:szCs w:val="24"/>
              </w:rPr>
              <w:t>已开展北交所融资融券业务的证券公司每个交易日通过FDEP接收融资融券余额数据和违约数据的检查结果、确认结果和汇总结果等相关文件</w:t>
            </w:r>
          </w:p>
          <w:p>
            <w:pPr>
              <w:spacing w:before="187"/>
              <w:ind w:firstLine="0" w:firstLineChars="0"/>
              <w:rPr>
                <w:rFonts w:cs="Times New Roman"/>
                <w:szCs w:val="24"/>
              </w:rPr>
            </w:pPr>
            <w:r>
              <w:rPr>
                <w:rFonts w:cs="Times New Roman"/>
                <w:szCs w:val="24"/>
              </w:rPr>
              <w:t>已开展北交所融资融券业务的</w:t>
            </w:r>
            <w:r>
              <w:rPr>
                <w:rFonts w:hint="eastAsia" w:cs="Times New Roman"/>
                <w:szCs w:val="24"/>
              </w:rPr>
              <w:t>证券公司</w:t>
            </w:r>
            <w:r>
              <w:rPr>
                <w:rFonts w:cs="Times New Roman"/>
                <w:szCs w:val="24"/>
              </w:rPr>
              <w:t>通过FDEP接收并处理北证50成份股信息和担保物集中度信息。</w:t>
            </w:r>
          </w:p>
        </w:tc>
        <w:tc>
          <w:tcPr>
            <w:tcW w:w="2835" w:type="dxa"/>
            <w:tcBorders>
              <w:tl2br w:val="single" w:color="auto" w:sz="4" w:space="0"/>
            </w:tcBorders>
            <w:shd w:val="clear" w:color="auto" w:fill="auto"/>
            <w:vAlign w:val="center"/>
          </w:tcPr>
          <w:p>
            <w:pPr>
              <w:ind w:firstLine="0" w:firstLineChars="0"/>
              <w:rPr>
                <w:rFonts w:cs="Times New Roman"/>
                <w:szCs w:val="24"/>
              </w:rPr>
            </w:pPr>
          </w:p>
        </w:tc>
      </w:tr>
    </w:tbl>
    <w:p>
      <w:pPr>
        <w:ind w:firstLine="0" w:firstLineChars="0"/>
      </w:pPr>
    </w:p>
    <w:p>
      <w:pPr>
        <w:pStyle w:val="73"/>
        <w:spacing w:before="163" w:after="163"/>
        <w:ind w:firstLine="562"/>
        <w:rPr>
          <w:sz w:val="30"/>
          <w:szCs w:val="30"/>
        </w:rPr>
      </w:pPr>
      <w:bookmarkStart w:id="47" w:name="_Toc139101914"/>
      <w:bookmarkStart w:id="48" w:name="_Toc119341904"/>
      <w:r>
        <w:rPr>
          <w:rFonts w:hint="eastAsia"/>
        </w:rPr>
        <w:t>（二）交易类</w:t>
      </w:r>
      <w:r>
        <w:rPr>
          <w:rFonts w:hint="eastAsia"/>
          <w:sz w:val="30"/>
          <w:szCs w:val="30"/>
        </w:rPr>
        <w:t>测试要求</w:t>
      </w:r>
      <w:bookmarkEnd w:id="47"/>
      <w:bookmarkEnd w:id="48"/>
    </w:p>
    <w:tbl>
      <w:tblPr>
        <w:tblStyle w:val="3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93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shd w:val="clear" w:color="auto" w:fill="D8D8D8" w:themeFill="background1" w:themeFillShade="D9"/>
            <w:vAlign w:val="center"/>
          </w:tcPr>
          <w:p>
            <w:pPr>
              <w:ind w:right="420" w:firstLine="0" w:firstLineChars="0"/>
              <w:jc w:val="center"/>
              <w:rPr>
                <w:rFonts w:eastAsia="楷体" w:cs="Times New Roman"/>
                <w:b/>
                <w:bCs/>
                <w:color w:val="000000" w:themeColor="text1"/>
                <w:szCs w:val="24"/>
                <w14:textFill>
                  <w14:solidFill>
                    <w14:schemeClr w14:val="tx1"/>
                  </w14:solidFill>
                </w14:textFill>
              </w:rPr>
            </w:pPr>
            <w:r>
              <w:rPr>
                <w:rFonts w:hint="eastAsia" w:eastAsia="楷体" w:cs="Times New Roman"/>
                <w:b/>
                <w:bCs/>
                <w:color w:val="000000" w:themeColor="text1"/>
                <w:szCs w:val="24"/>
                <w14:textFill>
                  <w14:solidFill>
                    <w14:schemeClr w14:val="tx1"/>
                  </w14:solidFill>
                </w14:textFill>
              </w:rPr>
              <w:t>测试场景</w:t>
            </w:r>
          </w:p>
        </w:tc>
        <w:tc>
          <w:tcPr>
            <w:tcW w:w="1937" w:type="dxa"/>
            <w:shd w:val="clear" w:color="auto" w:fill="D8D8D8" w:themeFill="background1" w:themeFillShade="D9"/>
            <w:vAlign w:val="center"/>
          </w:tcPr>
          <w:p>
            <w:pPr>
              <w:ind w:right="420" w:firstLine="0" w:firstLineChars="0"/>
              <w:jc w:val="center"/>
              <w:rPr>
                <w:rFonts w:eastAsia="楷体" w:cs="Times New Roman"/>
                <w:b/>
                <w:bCs/>
                <w:color w:val="000000" w:themeColor="text1"/>
                <w:szCs w:val="24"/>
                <w14:textFill>
                  <w14:solidFill>
                    <w14:schemeClr w14:val="tx1"/>
                  </w14:solidFill>
                </w14:textFill>
              </w:rPr>
            </w:pPr>
            <w:r>
              <w:rPr>
                <w:rFonts w:hint="eastAsia" w:eastAsia="楷体" w:cs="Times New Roman"/>
                <w:b/>
                <w:bCs/>
                <w:color w:val="000000" w:themeColor="text1"/>
                <w:szCs w:val="24"/>
                <w14:textFill>
                  <w14:solidFill>
                    <w14:schemeClr w14:val="tx1"/>
                  </w14:solidFill>
                </w14:textFill>
              </w:rPr>
              <w:t>测试证券</w:t>
            </w:r>
          </w:p>
        </w:tc>
        <w:tc>
          <w:tcPr>
            <w:tcW w:w="5528" w:type="dxa"/>
            <w:shd w:val="clear" w:color="auto" w:fill="D8D8D8" w:themeFill="background1" w:themeFillShade="D9"/>
            <w:vAlign w:val="center"/>
          </w:tcPr>
          <w:p>
            <w:pPr>
              <w:ind w:right="420" w:firstLine="0" w:firstLineChars="0"/>
              <w:jc w:val="center"/>
              <w:rPr>
                <w:rFonts w:eastAsia="楷体" w:cs="Times New Roman"/>
                <w:b/>
                <w:bCs/>
                <w:color w:val="000000" w:themeColor="text1"/>
                <w:szCs w:val="24"/>
                <w14:textFill>
                  <w14:solidFill>
                    <w14:schemeClr w14:val="tx1"/>
                  </w14:solidFill>
                </w14:textFill>
              </w:rPr>
            </w:pPr>
            <w:r>
              <w:rPr>
                <w:rFonts w:hint="eastAsia" w:eastAsia="楷体" w:cs="Times New Roman"/>
                <w:b/>
                <w:bCs/>
                <w:color w:val="000000" w:themeColor="text1"/>
                <w:szCs w:val="24"/>
                <w14:textFill>
                  <w14:solidFill>
                    <w14:schemeClr w14:val="tx1"/>
                  </w14:solidFill>
                </w14:textFill>
              </w:rPr>
              <w:t>测试要求和</w:t>
            </w:r>
            <w:r>
              <w:rPr>
                <w:rFonts w:eastAsia="楷体" w:cs="Times New Roman"/>
                <w:b/>
                <w:bCs/>
                <w:color w:val="000000" w:themeColor="text1"/>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shd w:val="clear" w:color="auto" w:fill="auto"/>
            <w:vAlign w:val="center"/>
          </w:tcPr>
          <w:p>
            <w:pPr>
              <w:ind w:firstLine="0" w:firstLineChars="0"/>
              <w:rPr>
                <w:rFonts w:cs="Times New Roman"/>
                <w:szCs w:val="24"/>
              </w:rPr>
            </w:pPr>
            <w:r>
              <w:rPr>
                <w:rFonts w:hint="eastAsia" w:cs="Times New Roman"/>
                <w:szCs w:val="24"/>
              </w:rPr>
              <w:t>融资融券标的证券和担保证券日间紧急停牌</w:t>
            </w:r>
          </w:p>
        </w:tc>
        <w:tc>
          <w:tcPr>
            <w:tcW w:w="1937" w:type="dxa"/>
            <w:shd w:val="clear" w:color="auto" w:fill="auto"/>
            <w:vAlign w:val="center"/>
          </w:tcPr>
          <w:p>
            <w:pPr>
              <w:ind w:firstLine="0" w:firstLineChars="0"/>
              <w:rPr>
                <w:rFonts w:cs="Times New Roman"/>
                <w:szCs w:val="24"/>
              </w:rPr>
            </w:pPr>
            <w:r>
              <w:rPr>
                <w:rFonts w:cs="Times New Roman"/>
                <w:szCs w:val="24"/>
              </w:rPr>
              <w:t>标的券</w:t>
            </w:r>
            <w:r>
              <w:rPr>
                <w:rFonts w:hint="eastAsia" w:cs="Times New Roman"/>
                <w:szCs w:val="24"/>
              </w:rPr>
              <w:t>：831152，832225</w:t>
            </w:r>
          </w:p>
          <w:p>
            <w:pPr>
              <w:ind w:firstLine="0" w:firstLineChars="0"/>
              <w:rPr>
                <w:rFonts w:cs="Times New Roman"/>
                <w:szCs w:val="24"/>
              </w:rPr>
            </w:pPr>
            <w:r>
              <w:rPr>
                <w:rFonts w:cs="Times New Roman"/>
                <w:szCs w:val="24"/>
              </w:rPr>
              <w:t>担保券</w:t>
            </w:r>
            <w:r>
              <w:rPr>
                <w:rFonts w:hint="eastAsia" w:cs="Times New Roman"/>
                <w:szCs w:val="24"/>
              </w:rPr>
              <w:t>：872808，838402</w:t>
            </w:r>
          </w:p>
        </w:tc>
        <w:tc>
          <w:tcPr>
            <w:tcW w:w="5528" w:type="dxa"/>
            <w:shd w:val="clear" w:color="auto" w:fill="auto"/>
            <w:vAlign w:val="center"/>
          </w:tcPr>
          <w:p>
            <w:pPr>
              <w:ind w:right="420" w:firstLine="0" w:firstLineChars="0"/>
              <w:jc w:val="both"/>
              <w:rPr>
                <w:rFonts w:eastAsia="楷体" w:cs="Times New Roman"/>
                <w:b/>
                <w:bCs/>
                <w:color w:val="000000" w:themeColor="text1"/>
                <w:szCs w:val="24"/>
                <w14:textFill>
                  <w14:solidFill>
                    <w14:schemeClr w14:val="tx1"/>
                  </w14:solidFill>
                </w14:textFill>
              </w:rPr>
            </w:pPr>
            <w:r>
              <w:rPr>
                <w:rFonts w:hint="eastAsia" w:cs="Times New Roman"/>
                <w:szCs w:val="24"/>
              </w:rPr>
              <w:t>全体证券公司能够正确、及时揭示证券的停复牌状态。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日间紧急暂停融资融券业务</w:t>
            </w:r>
          </w:p>
        </w:tc>
        <w:tc>
          <w:tcPr>
            <w:tcW w:w="1937" w:type="dxa"/>
            <w:vAlign w:val="center"/>
          </w:tcPr>
          <w:p>
            <w:pPr>
              <w:ind w:firstLine="0" w:firstLineChars="0"/>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暂停可融资</w:t>
            </w:r>
            <w:r>
              <w:rPr>
                <w:rFonts w:hint="eastAsia" w:cs="Times New Roman"/>
                <w:color w:val="000000" w:themeColor="text1"/>
                <w:szCs w:val="24"/>
                <w14:textFill>
                  <w14:solidFill>
                    <w14:schemeClr w14:val="tx1"/>
                  </w14:solidFill>
                </w14:textFill>
              </w:rPr>
              <w:t>：839680，831832</w:t>
            </w:r>
          </w:p>
          <w:p>
            <w:pPr>
              <w:ind w:firstLine="0" w:firstLineChars="0"/>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暂停可融券</w:t>
            </w:r>
            <w:r>
              <w:rPr>
                <w:rFonts w:hint="eastAsia" w:cs="Times New Roman"/>
                <w:color w:val="000000" w:themeColor="text1"/>
                <w:szCs w:val="24"/>
                <w14:textFill>
                  <w14:solidFill>
                    <w14:schemeClr w14:val="tx1"/>
                  </w14:solidFill>
                </w14:textFill>
              </w:rPr>
              <w:t>：836239，832735</w:t>
            </w:r>
          </w:p>
        </w:tc>
        <w:tc>
          <w:tcPr>
            <w:tcW w:w="5528" w:type="dxa"/>
            <w:vAlign w:val="center"/>
          </w:tcPr>
          <w:p>
            <w:pPr>
              <w:spacing w:before="187"/>
              <w:ind w:firstLine="0" w:firstLineChars="0"/>
              <w:rPr>
                <w:rFonts w:cs="Times New Roman"/>
                <w:szCs w:val="24"/>
              </w:rPr>
            </w:pPr>
            <w:r>
              <w:rPr>
                <w:rFonts w:hint="eastAsia" w:cs="Times New Roman"/>
                <w:szCs w:val="24"/>
              </w:rPr>
              <w:t>已开展北交所融资融券业务的证券公司能够正确、及时揭示证券是否为融资标的、是否为融券标的、当日可融资和当日可融券状态。</w:t>
            </w:r>
          </w:p>
          <w:p>
            <w:pPr>
              <w:spacing w:before="187"/>
              <w:ind w:firstLine="0" w:firstLineChars="0"/>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vMerge w:val="restart"/>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1937" w:type="dxa"/>
            <w:vMerge w:val="restart"/>
            <w:vAlign w:val="center"/>
          </w:tcPr>
          <w:p>
            <w:pPr>
              <w:ind w:firstLine="0" w:firstLineChars="0"/>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5528"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全体证券公司能够正确接收并处理证券信息库，并通过证券信息库接收和处理证券分层信息。（已取消分层公告文件）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vMerge w:val="continue"/>
            <w:vAlign w:val="center"/>
          </w:tcPr>
          <w:p>
            <w:pPr>
              <w:ind w:firstLine="0" w:firstLineChars="0"/>
              <w:jc w:val="both"/>
              <w:rPr>
                <w:rFonts w:ascii="仿宋" w:hAnsi="仿宋" w:cs="Times New Roman"/>
                <w:color w:val="000000" w:themeColor="text1"/>
                <w:szCs w:val="24"/>
                <w14:textFill>
                  <w14:solidFill>
                    <w14:schemeClr w14:val="tx1"/>
                  </w14:solidFill>
                </w14:textFill>
              </w:rPr>
            </w:pPr>
          </w:p>
        </w:tc>
        <w:tc>
          <w:tcPr>
            <w:tcW w:w="1937" w:type="dxa"/>
            <w:vMerge w:val="continue"/>
            <w:vAlign w:val="center"/>
          </w:tcPr>
          <w:p>
            <w:pPr>
              <w:ind w:firstLine="0" w:firstLineChars="0"/>
              <w:rPr>
                <w:rFonts w:cs="Times New Roman"/>
                <w:color w:val="000000" w:themeColor="text1"/>
                <w:szCs w:val="24"/>
                <w14:textFill>
                  <w14:solidFill>
                    <w14:schemeClr w14:val="tx1"/>
                  </w14:solidFill>
                </w14:textFill>
              </w:rPr>
            </w:pPr>
          </w:p>
        </w:tc>
        <w:tc>
          <w:tcPr>
            <w:tcW w:w="5528"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已开展北交所融资融券业务的证券公司能够正确、及时更新证券是否为融资标的、是否为融券标的、当日可融资和当日可融券状态。（已取消标的券信息公告文件）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vMerge w:val="restart"/>
            <w:vAlign w:val="center"/>
          </w:tcPr>
          <w:p>
            <w:pPr>
              <w:ind w:firstLine="0" w:firstLineChars="0"/>
              <w:jc w:val="center"/>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数据报送</w:t>
            </w:r>
            <w:r>
              <w:rPr>
                <w:rFonts w:hint="eastAsia" w:ascii="仿宋" w:hAnsi="仿宋" w:cs="Times New Roman"/>
                <w:color w:val="000000" w:themeColor="text1"/>
                <w:szCs w:val="24"/>
                <w14:textFill>
                  <w14:solidFill>
                    <w14:schemeClr w14:val="tx1"/>
                  </w14:solidFill>
                </w14:textFill>
              </w:rPr>
              <w:t>、</w:t>
            </w:r>
            <w:r>
              <w:rPr>
                <w:rFonts w:ascii="仿宋" w:hAnsi="仿宋" w:cs="Times New Roman"/>
                <w:color w:val="000000" w:themeColor="text1"/>
                <w:szCs w:val="24"/>
                <w14:textFill>
                  <w14:solidFill>
                    <w14:schemeClr w14:val="tx1"/>
                  </w14:solidFill>
                </w14:textFill>
              </w:rPr>
              <w:t>接收</w:t>
            </w:r>
          </w:p>
        </w:tc>
        <w:tc>
          <w:tcPr>
            <w:tcW w:w="1937" w:type="dxa"/>
            <w:vMerge w:val="restart"/>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5528" w:type="dxa"/>
            <w:vAlign w:val="center"/>
          </w:tcPr>
          <w:p>
            <w:pPr>
              <w:ind w:firstLine="0" w:firstLineChars="0"/>
              <w:jc w:val="both"/>
              <w:rPr>
                <w:rFonts w:cs="Times New Roman"/>
                <w:szCs w:val="24"/>
              </w:rPr>
            </w:pPr>
            <w:r>
              <w:rPr>
                <w:rFonts w:hint="eastAsia" w:cs="Times New Roman"/>
                <w:szCs w:val="24"/>
              </w:rPr>
              <w:t>全体证券公司能够正常报送适当性数据，并能接收处理</w:t>
            </w:r>
            <w:r>
              <w:rPr>
                <w:rFonts w:hint="eastAsia" w:cs="Times New Roman"/>
                <w:szCs w:val="24"/>
                <w:lang w:eastAsia="zh-CN"/>
              </w:rPr>
              <w:t>交易支持平台</w:t>
            </w:r>
            <w:r>
              <w:rPr>
                <w:rFonts w:hint="eastAsia" w:cs="Times New Roman"/>
                <w:szCs w:val="24"/>
              </w:rPr>
              <w:t>返回的检查结果、确认结果和汇总结果等相关文件。适当性接口文件中投资者姓名字段的长度调整为120字节。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vMerge w:val="continue"/>
            <w:vAlign w:val="center"/>
          </w:tcPr>
          <w:p>
            <w:pPr>
              <w:ind w:firstLine="0" w:firstLineChars="0"/>
              <w:jc w:val="both"/>
              <w:rPr>
                <w:rFonts w:ascii="仿宋" w:hAnsi="仿宋" w:cs="Times New Roman"/>
                <w:color w:val="000000" w:themeColor="text1"/>
                <w:szCs w:val="24"/>
                <w14:textFill>
                  <w14:solidFill>
                    <w14:schemeClr w14:val="tx1"/>
                  </w14:solidFill>
                </w14:textFill>
              </w:rPr>
            </w:pPr>
          </w:p>
        </w:tc>
        <w:tc>
          <w:tcPr>
            <w:tcW w:w="193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5528" w:type="dxa"/>
            <w:vAlign w:val="center"/>
          </w:tcPr>
          <w:p>
            <w:pPr>
              <w:ind w:firstLine="0" w:firstLineChars="0"/>
              <w:jc w:val="both"/>
              <w:rPr>
                <w:rFonts w:cs="Times New Roman"/>
                <w:szCs w:val="24"/>
              </w:rPr>
            </w:pPr>
            <w:r>
              <w:rPr>
                <w:rFonts w:hint="eastAsia" w:cs="Times New Roman"/>
                <w:szCs w:val="24"/>
              </w:rPr>
              <w:t>已开展北交所融资融券业务的证券公司通过FDEP接收并处理北证50成份股信息和担保物集中度信息。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86" w:type="dxa"/>
            <w:vMerge w:val="continue"/>
            <w:vAlign w:val="center"/>
          </w:tcPr>
          <w:p>
            <w:pPr>
              <w:ind w:firstLine="0" w:firstLineChars="0"/>
              <w:jc w:val="both"/>
              <w:rPr>
                <w:rFonts w:ascii="仿宋" w:hAnsi="仿宋" w:cs="Times New Roman"/>
                <w:color w:val="000000" w:themeColor="text1"/>
                <w:szCs w:val="24"/>
                <w14:textFill>
                  <w14:solidFill>
                    <w14:schemeClr w14:val="tx1"/>
                  </w14:solidFill>
                </w14:textFill>
              </w:rPr>
            </w:pPr>
          </w:p>
        </w:tc>
        <w:tc>
          <w:tcPr>
            <w:tcW w:w="193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5528" w:type="dxa"/>
            <w:vAlign w:val="center"/>
          </w:tcPr>
          <w:p>
            <w:pPr>
              <w:ind w:firstLine="0" w:firstLineChars="0"/>
              <w:jc w:val="both"/>
              <w:rPr>
                <w:rFonts w:cs="Times New Roman"/>
                <w:szCs w:val="24"/>
              </w:rPr>
            </w:pPr>
            <w:r>
              <w:rPr>
                <w:rFonts w:hint="eastAsia" w:cs="Times New Roman"/>
                <w:szCs w:val="24"/>
              </w:rPr>
              <w:t>已开展北交所融资融券业务的证券公司每个交易日通过FDEP报送融资融券余额数据和违约数据，并能接收处理北交所返回的检查结果、确认结果和汇总结果等相关文件。</w:t>
            </w:r>
          </w:p>
        </w:tc>
      </w:tr>
    </w:tbl>
    <w:p>
      <w:pPr>
        <w:spacing w:line="240" w:lineRule="auto"/>
        <w:ind w:firstLine="600"/>
        <w:jc w:val="both"/>
        <w:rPr>
          <w:rFonts w:cs="Times New Roman"/>
          <w:color w:val="000000" w:themeColor="text1"/>
          <w:sz w:val="30"/>
          <w:szCs w:val="30"/>
          <w14:textFill>
            <w14:solidFill>
              <w14:schemeClr w14:val="tx1"/>
            </w14:solidFill>
          </w14:textFill>
        </w:rPr>
      </w:pPr>
    </w:p>
    <w:p>
      <w:pPr>
        <w:pStyle w:val="72"/>
        <w:numPr>
          <w:ilvl w:val="0"/>
          <w:numId w:val="6"/>
        </w:numPr>
        <w:spacing w:before="163" w:after="163"/>
        <w:ind w:firstLine="600"/>
      </w:pPr>
      <w:bookmarkStart w:id="49" w:name="_Toc119341905"/>
      <w:bookmarkStart w:id="50" w:name="_Toc139101915"/>
      <w:r>
        <w:t>测试数据准备</w:t>
      </w:r>
      <w:bookmarkEnd w:id="49"/>
      <w:bookmarkEnd w:id="50"/>
    </w:p>
    <w:p>
      <w:pPr>
        <w:pStyle w:val="73"/>
        <w:spacing w:before="163" w:after="163"/>
        <w:ind w:firstLine="562"/>
      </w:pPr>
      <w:bookmarkStart w:id="51" w:name="_Toc502217616"/>
      <w:bookmarkStart w:id="52" w:name="_Toc119341906"/>
      <w:bookmarkStart w:id="53" w:name="_Toc139101916"/>
      <w:bookmarkStart w:id="54" w:name="_Toc502216522"/>
      <w:r>
        <w:rPr>
          <w:rFonts w:hint="eastAsia"/>
        </w:rPr>
        <w:t>（一）</w:t>
      </w:r>
      <w:r>
        <w:rPr>
          <w:sz w:val="30"/>
          <w:szCs w:val="30"/>
        </w:rPr>
        <w:t>证券行情和证券信息</w:t>
      </w:r>
      <w:bookmarkEnd w:id="51"/>
      <w:bookmarkEnd w:id="52"/>
      <w:bookmarkEnd w:id="53"/>
      <w:bookmarkEnd w:id="54"/>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初始证券行情和初始证券信息以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月7日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交易支持平台生产</w:t>
      </w:r>
      <w:r>
        <w:rPr>
          <w:rFonts w:cs="Times New Roman"/>
          <w:color w:val="000000" w:themeColor="text1"/>
          <w:sz w:val="30"/>
          <w:szCs w:val="30"/>
          <w14:textFill>
            <w14:solidFill>
              <w14:schemeClr w14:val="tx1"/>
            </w14:solidFill>
          </w14:textFill>
        </w:rPr>
        <w:t>环境收盘证券行情（NQHQ.DBF）和证券信息（NQXX.DBF）为准。</w:t>
      </w:r>
    </w:p>
    <w:p>
      <w:pPr>
        <w:pStyle w:val="73"/>
        <w:spacing w:before="163" w:after="163"/>
        <w:ind w:firstLine="562"/>
      </w:pPr>
      <w:bookmarkStart w:id="55" w:name="_Toc502216523"/>
      <w:bookmarkStart w:id="56" w:name="_Toc139101917"/>
      <w:bookmarkStart w:id="57" w:name="_Toc119341907"/>
      <w:bookmarkStart w:id="58" w:name="_Toc502217617"/>
      <w:r>
        <w:rPr>
          <w:rFonts w:hint="eastAsia"/>
        </w:rPr>
        <w:t>（二）</w:t>
      </w:r>
      <w:r>
        <w:rPr>
          <w:sz w:val="30"/>
          <w:szCs w:val="30"/>
        </w:rPr>
        <w:t>证券账户、交易单元、托管单元及持仓</w:t>
      </w:r>
      <w:bookmarkEnd w:id="55"/>
      <w:bookmarkEnd w:id="56"/>
      <w:bookmarkEnd w:id="57"/>
      <w:bookmarkEnd w:id="58"/>
    </w:p>
    <w:p>
      <w:pPr>
        <w:spacing w:line="240" w:lineRule="auto"/>
        <w:ind w:firstLine="600"/>
        <w:jc w:val="both"/>
        <w:rPr>
          <w:rStyle w:val="104"/>
        </w:rPr>
      </w:pPr>
      <w:r>
        <w:rPr>
          <w:rStyle w:val="104"/>
        </w:rPr>
        <w:t>证券账户及持仓的初始信息以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月7日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Style w:val="104"/>
        </w:rPr>
        <w:t>全国股转系统、北交所和中国结算生产环境日终数据为准。</w:t>
      </w:r>
    </w:p>
    <w:p>
      <w:pPr>
        <w:pStyle w:val="73"/>
        <w:spacing w:before="163" w:after="163"/>
        <w:ind w:firstLine="562"/>
      </w:pPr>
      <w:bookmarkStart w:id="59" w:name="_Toc1230028077"/>
      <w:bookmarkStart w:id="60" w:name="_Toc139101918"/>
      <w:bookmarkStart w:id="61" w:name="_Toc502217619"/>
      <w:bookmarkStart w:id="62" w:name="_Toc1851485795"/>
      <w:bookmarkStart w:id="63" w:name="_Toc502216525"/>
      <w:r>
        <w:rPr>
          <w:rFonts w:hint="eastAsia"/>
        </w:rPr>
        <w:t>（三）</w:t>
      </w:r>
      <w:r>
        <w:t>挂牌公司分层信息</w:t>
      </w:r>
      <w:bookmarkEnd w:id="59"/>
      <w:bookmarkEnd w:id="60"/>
      <w:bookmarkEnd w:id="61"/>
      <w:bookmarkEnd w:id="62"/>
      <w:bookmarkEnd w:id="63"/>
    </w:p>
    <w:p>
      <w:pPr>
        <w:spacing w:line="240" w:lineRule="auto"/>
        <w:ind w:firstLine="600"/>
        <w:jc w:val="both"/>
        <w:rPr>
          <w:rStyle w:val="104"/>
        </w:rPr>
      </w:pPr>
      <w:r>
        <w:rPr>
          <w:rFonts w:cs="Times New Roman"/>
          <w:color w:val="000000" w:themeColor="text1"/>
          <w:sz w:val="30"/>
          <w:szCs w:val="30"/>
          <w14:textFill>
            <w14:solidFill>
              <w14:schemeClr w14:val="tx1"/>
            </w14:solidFill>
          </w14:textFill>
        </w:rPr>
        <w:t>上市公司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挂牌公司股票分层信息以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月7日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）全国股转系统</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64" w:name="_Toc502216528"/>
      <w:bookmarkStart w:id="65" w:name="_Toc119341908"/>
      <w:bookmarkStart w:id="66" w:name="_Toc502217622"/>
      <w:bookmarkStart w:id="67" w:name="_Toc139101919"/>
      <w:r>
        <w:rPr>
          <w:rFonts w:hint="eastAsia"/>
        </w:rPr>
        <w:t>（四）</w:t>
      </w:r>
      <w:r>
        <w:rPr>
          <w:sz w:val="30"/>
          <w:szCs w:val="30"/>
        </w:rPr>
        <w:t>交易网关、行情网关和结算网关</w:t>
      </w:r>
      <w:bookmarkEnd w:id="64"/>
      <w:bookmarkEnd w:id="65"/>
      <w:bookmarkEnd w:id="66"/>
      <w:bookmarkEnd w:id="67"/>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w:t>
      </w:r>
      <w:r>
        <w:rPr>
          <w:rFonts w:hint="eastAsia" w:cs="Times New Roman"/>
          <w:color w:val="000000" w:themeColor="text1"/>
          <w:sz w:val="30"/>
          <w:szCs w:val="30"/>
          <w14:textFill>
            <w14:solidFill>
              <w14:schemeClr w14:val="tx1"/>
            </w14:solidFill>
          </w14:textFill>
        </w:rPr>
        <w:t>2023年2023年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月7日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bookmarkStart w:id="68" w:name="_Toc374381862"/>
      <w:bookmarkStart w:id="69" w:name="_Toc375557974"/>
      <w:bookmarkStart w:id="70" w:name="_Toc374957920"/>
      <w:bookmarkStart w:id="71" w:name="_Toc375070738"/>
      <w:bookmarkStart w:id="72" w:name="_Toc376285233"/>
      <w:bookmarkStart w:id="73" w:name="_Toc376597526"/>
      <w:bookmarkStart w:id="74" w:name="_Toc374381928"/>
    </w:p>
    <w:p>
      <w:pPr>
        <w:pStyle w:val="73"/>
        <w:spacing w:before="163" w:after="163"/>
        <w:ind w:firstLine="562"/>
      </w:pPr>
      <w:bookmarkStart w:id="75" w:name="_Toc1913828385"/>
      <w:bookmarkStart w:id="76" w:name="_Toc139101920"/>
      <w:bookmarkStart w:id="77" w:name="_Toc194669963"/>
      <w:r>
        <w:rPr>
          <w:rFonts w:hint="eastAsia"/>
        </w:rPr>
        <w:t>（五）</w:t>
      </w:r>
      <w:r>
        <w:t>FDEP小站</w:t>
      </w:r>
      <w:bookmarkEnd w:id="75"/>
      <w:bookmarkEnd w:id="76"/>
      <w:bookmarkEnd w:id="77"/>
    </w:p>
    <w:p>
      <w:pPr>
        <w:spacing w:line="240" w:lineRule="auto"/>
        <w:ind w:firstLine="600"/>
        <w:jc w:val="both"/>
        <w:rPr>
          <w:rFonts w:cs="Times New Roman"/>
          <w:b/>
          <w:bCs/>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证券公司用于报送和接收融资融券业务数据的FDEP小站号</w:t>
      </w:r>
      <w:r>
        <w:rPr>
          <w:rFonts w:cs="Times New Roman"/>
          <w:color w:val="000000" w:themeColor="text1"/>
          <w:sz w:val="30"/>
          <w:szCs w:val="30"/>
          <w14:textFill>
            <w14:solidFill>
              <w14:schemeClr w14:val="tx1"/>
            </w14:solidFill>
          </w14:textFill>
        </w:rPr>
        <w:t>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月7日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）全国股转系统</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r>
        <w:rPr>
          <w:rFonts w:hint="eastAsia" w:cs="Times New Roman"/>
          <w:color w:val="000000" w:themeColor="text1"/>
          <w:sz w:val="30"/>
          <w:szCs w:val="30"/>
          <w14:textFill>
            <w14:solidFill>
              <w14:schemeClr w14:val="tx1"/>
            </w14:solidFill>
          </w14:textFill>
        </w:rPr>
        <w:t>。</w:t>
      </w:r>
    </w:p>
    <w:p>
      <w:pPr>
        <w:pStyle w:val="72"/>
        <w:numPr>
          <w:ilvl w:val="0"/>
          <w:numId w:val="6"/>
        </w:numPr>
        <w:spacing w:before="163" w:after="163"/>
        <w:ind w:firstLine="600"/>
      </w:pPr>
      <w:bookmarkStart w:id="78" w:name="_Toc139101921"/>
      <w:bookmarkStart w:id="79" w:name="_Toc119341909"/>
      <w:r>
        <w:t>测试系统接入方式</w:t>
      </w:r>
      <w:bookmarkEnd w:id="68"/>
      <w:bookmarkEnd w:id="69"/>
      <w:bookmarkEnd w:id="70"/>
      <w:bookmarkEnd w:id="71"/>
      <w:bookmarkEnd w:id="72"/>
      <w:bookmarkEnd w:id="73"/>
      <w:bookmarkEnd w:id="74"/>
      <w:bookmarkEnd w:id="78"/>
      <w:bookmarkEnd w:id="79"/>
    </w:p>
    <w:p>
      <w:pPr>
        <w:pStyle w:val="73"/>
        <w:spacing w:before="163" w:after="163"/>
        <w:ind w:firstLine="562"/>
      </w:pPr>
      <w:bookmarkStart w:id="80" w:name="_Toc119341910"/>
      <w:bookmarkStart w:id="81" w:name="_Toc416422123"/>
      <w:bookmarkStart w:id="82" w:name="_Toc139101922"/>
      <w:bookmarkStart w:id="83" w:name="_Toc375557976"/>
      <w:bookmarkStart w:id="84" w:name="_Toc374957922"/>
      <w:bookmarkStart w:id="85" w:name="_Toc375070740"/>
      <w:bookmarkStart w:id="86" w:name="_Toc376597528"/>
      <w:bookmarkStart w:id="87" w:name="_Toc376285235"/>
      <w:bookmarkStart w:id="88" w:name="_Toc374381864"/>
      <w:bookmarkStart w:id="89" w:name="_Toc374381930"/>
      <w:r>
        <w:rPr>
          <w:rFonts w:hint="eastAsia"/>
        </w:rPr>
        <w:t>（一）</w:t>
      </w:r>
      <w:r>
        <w:rPr>
          <w:sz w:val="30"/>
          <w:szCs w:val="30"/>
        </w:rPr>
        <w:t>参测</w:t>
      </w:r>
      <w:r>
        <w:rPr>
          <w:rFonts w:hint="eastAsia"/>
          <w:sz w:val="30"/>
          <w:szCs w:val="30"/>
        </w:rPr>
        <w:t>机构</w:t>
      </w:r>
      <w:r>
        <w:rPr>
          <w:sz w:val="30"/>
          <w:szCs w:val="30"/>
        </w:rPr>
        <w:t>接入深证通</w:t>
      </w:r>
      <w:bookmarkEnd w:id="80"/>
      <w:bookmarkEnd w:id="81"/>
      <w:bookmarkEnd w:id="82"/>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环境线路接入深证通提供的通关测试环境，如有问题，及时联系深证通。</w:t>
      </w:r>
    </w:p>
    <w:p>
      <w:pPr>
        <w:pStyle w:val="73"/>
        <w:widowControl w:val="0"/>
        <w:spacing w:before="163" w:after="163"/>
        <w:ind w:firstLine="562"/>
      </w:pPr>
      <w:bookmarkStart w:id="90" w:name="_Toc119341911"/>
      <w:bookmarkStart w:id="91" w:name="_Toc139101923"/>
      <w:bookmarkStart w:id="92" w:name="_Toc416422124"/>
      <w:bookmarkStart w:id="93"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90"/>
      <w:bookmarkEnd w:id="91"/>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94" w:name="_Toc529814339"/>
      <w:bookmarkStart w:id="95" w:name="_Toc716568656"/>
      <w:bookmarkStart w:id="96" w:name="_Toc139101924"/>
      <w:r>
        <w:rPr>
          <w:rFonts w:hint="eastAsia"/>
        </w:rPr>
        <w:t>（三）</w:t>
      </w:r>
      <w:r>
        <w:t>测试相关软件下载</w:t>
      </w:r>
      <w:bookmarkEnd w:id="94"/>
      <w:bookmarkEnd w:id="95"/>
      <w:bookmarkEnd w:id="96"/>
    </w:p>
    <w:p>
      <w:pPr>
        <w:spacing w:line="240" w:lineRule="auto"/>
        <w:ind w:firstLine="600"/>
        <w:jc w:val="both"/>
        <w:rPr>
          <w:rFonts w:ascii="仿宋" w:hAnsi="仿宋" w:cs="仿宋"/>
          <w:color w:val="000000"/>
          <w:kern w:val="0"/>
          <w:sz w:val="30"/>
          <w:szCs w:val="30"/>
          <w:shd w:val="clear" w:color="auto" w:fill="FFFFFF"/>
          <w:lang w:bidi="ar"/>
        </w:rPr>
      </w:pPr>
      <w:r>
        <w:rPr>
          <w:rFonts w:ascii="仿宋" w:hAnsi="仿宋" w:cs="仿宋"/>
          <w:color w:val="000000"/>
          <w:kern w:val="0"/>
          <w:sz w:val="30"/>
          <w:szCs w:val="30"/>
          <w:shd w:val="clear" w:color="auto" w:fill="FFFFFF"/>
          <w:lang w:bidi="ar"/>
        </w:rPr>
        <w:t>本次测试所需</w:t>
      </w:r>
      <w:r>
        <w:rPr>
          <w:rFonts w:hint="eastAsia" w:ascii="仿宋" w:hAnsi="仿宋" w:cs="仿宋"/>
          <w:color w:val="000000"/>
          <w:kern w:val="0"/>
          <w:sz w:val="30"/>
          <w:szCs w:val="30"/>
          <w:shd w:val="clear" w:color="auto" w:fill="FFFFFF"/>
          <w:lang w:bidi="ar"/>
        </w:rPr>
        <w:t>的交易网关为现有生产版本</w:t>
      </w:r>
      <w:r>
        <w:rPr>
          <w:rFonts w:hint="eastAsia" w:ascii="仿宋" w:hAnsi="仿宋" w:cs="仿宋"/>
          <w:kern w:val="0"/>
          <w:sz w:val="30"/>
          <w:szCs w:val="30"/>
          <w:shd w:val="clear" w:color="auto" w:fill="FFFFFF"/>
          <w:lang w:bidi="ar"/>
        </w:rPr>
        <w:t>（版本日期：20201019），无需更新</w:t>
      </w:r>
      <w:r>
        <w:rPr>
          <w:rFonts w:hint="eastAsia" w:ascii="仿宋" w:hAnsi="仿宋" w:cs="仿宋"/>
          <w:color w:val="000000"/>
          <w:kern w:val="0"/>
          <w:sz w:val="30"/>
          <w:szCs w:val="30"/>
          <w:shd w:val="clear" w:color="auto" w:fill="FFFFFF"/>
          <w:lang w:bidi="ar"/>
        </w:rPr>
        <w:t>。行情网关请务必升级到</w:t>
      </w:r>
      <w:r>
        <w:rPr>
          <w:rFonts w:ascii="仿宋" w:hAnsi="仿宋" w:cs="仿宋"/>
          <w:color w:val="000000"/>
          <w:kern w:val="0"/>
          <w:sz w:val="30"/>
          <w:szCs w:val="30"/>
          <w:shd w:val="clear" w:color="auto" w:fill="FFFFFF"/>
          <w:lang w:bidi="ar"/>
        </w:rPr>
        <w:t>20230504</w:t>
      </w:r>
      <w:r>
        <w:rPr>
          <w:rFonts w:hint="eastAsia" w:ascii="仿宋" w:hAnsi="仿宋" w:cs="仿宋"/>
          <w:color w:val="000000"/>
          <w:kern w:val="0"/>
          <w:sz w:val="30"/>
          <w:szCs w:val="30"/>
          <w:shd w:val="clear" w:color="auto" w:fill="FFFFFF"/>
          <w:lang w:bidi="ar"/>
        </w:rPr>
        <w:t>版本，该行情网关版本可在深证通官网或QQ群中下载，通关测试成功后其它版本（版本日期：20200303、20211216）将不可使用。</w:t>
      </w:r>
    </w:p>
    <w:bookmarkEnd w:id="83"/>
    <w:bookmarkEnd w:id="84"/>
    <w:bookmarkEnd w:id="85"/>
    <w:bookmarkEnd w:id="86"/>
    <w:bookmarkEnd w:id="87"/>
    <w:bookmarkEnd w:id="88"/>
    <w:bookmarkEnd w:id="89"/>
    <w:bookmarkEnd w:id="92"/>
    <w:bookmarkEnd w:id="93"/>
    <w:p>
      <w:pPr>
        <w:pStyle w:val="72"/>
        <w:widowControl w:val="0"/>
        <w:spacing w:before="163" w:after="163"/>
        <w:ind w:firstLine="600"/>
      </w:pPr>
      <w:bookmarkStart w:id="97" w:name="_Toc374381866"/>
      <w:bookmarkStart w:id="98" w:name="_Toc374381932"/>
      <w:bookmarkStart w:id="99" w:name="_Toc375557978"/>
      <w:bookmarkStart w:id="100" w:name="_Toc376285237"/>
      <w:bookmarkStart w:id="101" w:name="_Toc119341912"/>
      <w:bookmarkStart w:id="102" w:name="_Toc375070742"/>
      <w:bookmarkStart w:id="103" w:name="_Toc139101925"/>
      <w:bookmarkStart w:id="104" w:name="_Toc376597530"/>
      <w:bookmarkStart w:id="105" w:name="_Toc374957924"/>
      <w:r>
        <w:rPr>
          <w:rFonts w:hint="eastAsia"/>
        </w:rPr>
        <w:t>十、</w:t>
      </w:r>
      <w:r>
        <w:t>测试要求及注意事项</w:t>
      </w:r>
      <w:bookmarkEnd w:id="97"/>
      <w:bookmarkEnd w:id="98"/>
      <w:bookmarkEnd w:id="99"/>
      <w:bookmarkEnd w:id="100"/>
      <w:bookmarkEnd w:id="101"/>
      <w:bookmarkEnd w:id="102"/>
      <w:bookmarkEnd w:id="103"/>
      <w:bookmarkEnd w:id="104"/>
      <w:bookmarkEnd w:id="105"/>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 xml:space="preserve"> 各参测机构应根据</w:t>
      </w:r>
      <w:r>
        <w:rPr>
          <w:rFonts w:hint="eastAsia" w:cs="Times New Roman"/>
          <w:color w:val="000000" w:themeColor="text1"/>
          <w:sz w:val="30"/>
          <w:szCs w:val="30"/>
          <w14:textFill>
            <w14:solidFill>
              <w14:schemeClr w14:val="tx1"/>
            </w14:solidFill>
          </w14:textFill>
        </w:rPr>
        <w:t>《交易支持平台数据接口规范(V2.2)》《北京证券交易所市场参与者技术系统变更指南之融资融券业务（V1.2）》《交易支持平台市场参与者技术系统变更指南之分层信息揭示（V1.2）》《交易支持平台市场参与者技术系统变更指南之适当性差异化管理（V1.3）》等技术规范和测试方案</w:t>
      </w:r>
      <w:r>
        <w:rPr>
          <w:rFonts w:cs="Times New Roman"/>
          <w:color w:val="000000" w:themeColor="text1"/>
          <w:sz w:val="30"/>
          <w:szCs w:val="30"/>
          <w14:textFill>
            <w14:solidFill>
              <w14:schemeClr w14:val="tx1"/>
            </w14:solidFill>
          </w14:textFill>
        </w:rPr>
        <w:t>，认真做好技术准备和测试环境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测试工作。</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全体证券公司应参加测试，已开通交易权限的基金公司及其托管机构</w:t>
      </w:r>
      <w:r>
        <w:rPr>
          <w:rFonts w:hint="eastAsia" w:cs="Times New Roman"/>
          <w:color w:val="000000" w:themeColor="text1"/>
          <w:sz w:val="30"/>
          <w:szCs w:val="30"/>
          <w:lang w:val="en"/>
          <w14:textFill>
            <w14:solidFill>
              <w14:schemeClr w14:val="tx1"/>
            </w14:solidFill>
          </w14:textFill>
        </w:rPr>
        <w:t>应参加测试，各提供北交所、全国股转系统行情服务的信息商应参加测试。</w:t>
      </w:r>
      <w:r>
        <w:rPr>
          <w:rFonts w:hint="eastAsia" w:cs="Times New Roman"/>
          <w:color w:val="000000" w:themeColor="text1"/>
          <w:sz w:val="30"/>
          <w:szCs w:val="30"/>
          <w14:textFill>
            <w14:solidFill>
              <w14:schemeClr w14:val="tx1"/>
            </w14:solidFill>
          </w14:textFill>
        </w:rPr>
        <w:t>证券公司</w:t>
      </w:r>
      <w:r>
        <w:rPr>
          <w:rFonts w:hint="eastAsia" w:cs="Times New Roman"/>
          <w:color w:val="000000" w:themeColor="text1"/>
          <w:sz w:val="30"/>
          <w:szCs w:val="30"/>
          <w:lang w:val="en"/>
          <w14:textFill>
            <w14:solidFill>
              <w14:schemeClr w14:val="tx1"/>
            </w14:solidFill>
          </w14:textFill>
        </w:rPr>
        <w:t>应通知相应已开通交易权限的基金公司，并请基金公司联系其托管机构。</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在测试过程中，各参测机构应按要求达到测试用例数量，并详细记载测试现象与结果，检查其正确性。如发现异常现象，请及时通过电话或QQ群与北交所、全国股转公司沟通联系。</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 xml:space="preserve"> 测试结束后，</w:t>
      </w:r>
      <w:r>
        <w:rPr>
          <w:rFonts w:hint="eastAsia" w:cs="Times New Roman"/>
          <w:color w:val="000000" w:themeColor="text1"/>
          <w:sz w:val="30"/>
          <w:szCs w:val="30"/>
          <w14:textFill>
            <w14:solidFill>
              <w14:schemeClr w14:val="tx1"/>
            </w14:solidFill>
          </w14:textFill>
        </w:rPr>
        <w:t>各参测证券公司应收集各自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于2023年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lang w:val="en"/>
          <w14:textFill>
            <w14:solidFill>
              <w14:schemeClr w14:val="tx1"/>
            </w14:solidFill>
          </w14:textFill>
        </w:rPr>
        <w:t>19</w:t>
      </w:r>
      <w:r>
        <w:rPr>
          <w:rFonts w:cs="Times New Roman"/>
          <w:color w:val="000000" w:themeColor="text1"/>
          <w:sz w:val="30"/>
          <w:szCs w:val="30"/>
          <w14:textFill>
            <w14:solidFill>
              <w14:schemeClr w14:val="tx1"/>
            </w14:solidFill>
          </w14:textFill>
        </w:rPr>
        <w:t>:00之前通过BPM提交测试报告（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参测信息商应按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w:t>
      </w:r>
      <w:r>
        <w:rPr>
          <w:rFonts w:hint="eastAsia" w:ascii="仿宋" w:hAnsi="仿宋" w:cs="Times New Roman"/>
          <w:color w:val="000000" w:themeColor="text1"/>
          <w:sz w:val="30"/>
          <w:szCs w:val="30"/>
          <w14:textFill>
            <w14:solidFill>
              <w14:schemeClr w14:val="tx1"/>
            </w14:solidFill>
          </w14:textFill>
        </w:rPr>
        <w:t>。</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ascii="仿宋" w:hAnsi="仿宋" w:cs="Times New Roman"/>
          <w:color w:val="000000" w:themeColor="text1"/>
          <w:sz w:val="30"/>
          <w:szCs w:val="30"/>
          <w14:textFill>
            <w14:solidFill>
              <w14:schemeClr w14:val="tx1"/>
            </w14:solidFill>
          </w14:textFill>
        </w:rPr>
        <w:t>机构</w:t>
      </w:r>
      <w:r>
        <w:rPr>
          <w:rFonts w:ascii="仿宋" w:hAnsi="仿宋" w:cs="Times New Roman"/>
          <w:color w:val="000000" w:themeColor="text1"/>
          <w:sz w:val="30"/>
          <w:szCs w:val="30"/>
          <w14:textFill>
            <w14:solidFill>
              <w14:schemeClr w14:val="tx1"/>
            </w14:solidFill>
          </w14:textFill>
        </w:rPr>
        <w:t>名称+</w:t>
      </w:r>
      <w:r>
        <w:rPr>
          <w:rFonts w:ascii="仿宋" w:hAnsi="仿宋" w:cs="Times New Roman"/>
          <w:color w:val="000000" w:themeColor="text1"/>
          <w:sz w:val="30"/>
          <w:szCs w:val="30"/>
          <w:lang w:val="en"/>
          <w14:textFill>
            <w14:solidFill>
              <w14:schemeClr w14:val="tx1"/>
            </w14:solidFill>
          </w14:textFill>
        </w:rPr>
        <w:t>融资融券等业务</w:t>
      </w:r>
      <w:r>
        <w:rPr>
          <w:rFonts w:hint="eastAsia" w:ascii="仿宋" w:hAnsi="仿宋" w:cs="Times New Roman"/>
          <w:color w:val="000000" w:themeColor="text1"/>
          <w:sz w:val="30"/>
          <w:szCs w:val="30"/>
          <w:lang w:val="en"/>
          <w14:textFill>
            <w14:solidFill>
              <w14:schemeClr w14:val="tx1"/>
            </w14:solidFill>
          </w14:textFill>
        </w:rPr>
        <w:t>优化通关</w:t>
      </w:r>
      <w:r>
        <w:rPr>
          <w:rFonts w:cs="Times New Roman"/>
          <w:color w:val="000000" w:themeColor="text1"/>
          <w:sz w:val="30"/>
          <w:szCs w:val="30"/>
          <w14:textFill>
            <w14:solidFill>
              <w14:schemeClr w14:val="tx1"/>
            </w14:solidFill>
          </w14:textFill>
        </w:rPr>
        <w:t>测试反馈</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hint="eastAsia" w:ascii="仿宋" w:hAnsi="仿宋" w:eastAsia="仿宋"/>
          <w:sz w:val="32"/>
        </w:rPr>
        <w:t>我所司</w:t>
      </w:r>
      <w:r>
        <w:rPr>
          <w:rFonts w:hint="eastAsia" w:cs="Times New Roman"/>
          <w:color w:val="000000" w:themeColor="text1"/>
          <w:sz w:val="30"/>
          <w:szCs w:val="30"/>
          <w14:textFill>
            <w14:solidFill>
              <w14:schemeClr w14:val="tx1"/>
            </w14:solidFill>
          </w14:textFill>
        </w:rPr>
        <w:t>履行上线决策后，请各参测机构根据通关测试结果做好技术系统数据恢复和验证工作，并于2023年</w:t>
      </w: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日（周日）上午1</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:00前反馈技术系统恢复情况报告（无须盖章）。各</w:t>
      </w:r>
      <w:r>
        <w:rPr>
          <w:rFonts w:hint="eastAsia" w:cs="Times New Roman"/>
          <w:color w:val="000000" w:themeColor="text1"/>
          <w:sz w:val="30"/>
          <w:szCs w:val="30"/>
          <w:lang w:val="e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通过BPM反馈，信息商通过电子邮件反馈，</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ascii="仿宋" w:hAnsi="仿宋" w:cs="Times New Roman"/>
          <w:color w:val="000000" w:themeColor="text1"/>
          <w:sz w:val="30"/>
          <w:szCs w:val="30"/>
          <w14:textFill>
            <w14:solidFill>
              <w14:schemeClr w14:val="tx1"/>
            </w14:solidFill>
          </w14:textFill>
        </w:rPr>
        <w:t>机构</w:t>
      </w:r>
      <w:r>
        <w:rPr>
          <w:rFonts w:ascii="仿宋" w:hAnsi="仿宋" w:cs="Times New Roman"/>
          <w:color w:val="000000" w:themeColor="text1"/>
          <w:sz w:val="30"/>
          <w:szCs w:val="30"/>
          <w14:textFill>
            <w14:solidFill>
              <w14:schemeClr w14:val="tx1"/>
            </w14:solidFill>
          </w14:textFill>
        </w:rPr>
        <w:t>名称+</w:t>
      </w:r>
      <w:r>
        <w:rPr>
          <w:rFonts w:ascii="仿宋" w:hAnsi="仿宋" w:cs="Times New Roman"/>
          <w:color w:val="000000" w:themeColor="text1"/>
          <w:sz w:val="30"/>
          <w:szCs w:val="30"/>
          <w:lang w:val="en"/>
          <w14:textFill>
            <w14:solidFill>
              <w14:schemeClr w14:val="tx1"/>
            </w14:solidFill>
          </w14:textFill>
        </w:rPr>
        <w:t>融资融券等业务</w:t>
      </w:r>
      <w:r>
        <w:rPr>
          <w:rFonts w:hint="eastAsia" w:ascii="仿宋" w:hAnsi="仿宋" w:cs="Times New Roman"/>
          <w:color w:val="000000" w:themeColor="text1"/>
          <w:sz w:val="30"/>
          <w:szCs w:val="30"/>
          <w:lang w:val="en"/>
          <w14:textFill>
            <w14:solidFill>
              <w14:schemeClr w14:val="tx1"/>
            </w14:solidFill>
          </w14:textFill>
        </w:rPr>
        <w:t>优化通关</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技术系统恢复情况报告，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通关测试的数据，包括但不限于交易单元、交易网关等，仅为模拟测试使用，不能作为生产环境任何交易、非交易及开户等业务的依据，请各参测机构做好生产环境保护。</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2"/>
        <w:spacing w:before="163" w:after="163"/>
        <w:ind w:firstLine="600"/>
      </w:pPr>
      <w:bookmarkStart w:id="106" w:name="_Toc374381869"/>
      <w:bookmarkStart w:id="107" w:name="_Toc374381935"/>
      <w:bookmarkStart w:id="108" w:name="_Toc374957927"/>
      <w:bookmarkStart w:id="109" w:name="_Toc139101926"/>
      <w:bookmarkStart w:id="110" w:name="_Toc375557981"/>
      <w:bookmarkStart w:id="111" w:name="_Toc119341913"/>
      <w:bookmarkStart w:id="112" w:name="_Toc376597533"/>
      <w:bookmarkStart w:id="113" w:name="_Toc376285240"/>
      <w:bookmarkStart w:id="114" w:name="_Toc375070745"/>
      <w:r>
        <w:t>十</w:t>
      </w:r>
      <w:r>
        <w:rPr>
          <w:rFonts w:hint="eastAsia"/>
        </w:rPr>
        <w:t>一、</w:t>
      </w:r>
      <w:r>
        <w:t>联系方式</w:t>
      </w:r>
      <w:bookmarkEnd w:id="106"/>
      <w:bookmarkEnd w:id="107"/>
      <w:bookmarkEnd w:id="108"/>
      <w:bookmarkEnd w:id="109"/>
      <w:bookmarkEnd w:id="110"/>
      <w:bookmarkEnd w:id="111"/>
      <w:bookmarkEnd w:id="112"/>
      <w:bookmarkEnd w:id="113"/>
      <w:bookmarkEnd w:id="11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测试联系单位</w:t>
            </w:r>
          </w:p>
        </w:tc>
        <w:tc>
          <w:tcPr>
            <w:tcW w:w="29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全国股转公司/北京</w:t>
            </w:r>
            <w:r>
              <w:rPr>
                <w:rFonts w:cs="Times New Roman"/>
                <w:color w:val="000000" w:themeColor="text1"/>
                <w:szCs w:val="24"/>
                <w14:textFill>
                  <w14:solidFill>
                    <w14:schemeClr w14:val="tx1"/>
                  </w14:solidFill>
                </w14:textFill>
              </w:rPr>
              <w:t>证券交易所</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全国股转北交所交易运行维护2群：362089063</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北交所两融测试群：</w:t>
            </w:r>
            <w:r>
              <w:rPr>
                <w:rFonts w:cs="Times New Roman"/>
                <w:color w:val="000000" w:themeColor="text1"/>
                <w:szCs w:val="24"/>
                <w14:textFill>
                  <w14:solidFill>
                    <w14:schemeClr w14:val="tx1"/>
                  </w14:solidFill>
                </w14:textFill>
              </w:rPr>
              <w:t>859780240</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w:t>
      </w:r>
      <w:r>
        <w:rPr>
          <w:rFonts w:ascii="仿宋" w:hAnsi="仿宋" w:cs="Times New Roman"/>
          <w:color w:val="000000" w:themeColor="text1"/>
          <w:sz w:val="30"/>
          <w:szCs w:val="30"/>
          <w14:textFill>
            <w14:solidFill>
              <w14:schemeClr w14:val="tx1"/>
            </w14:solidFill>
          </w14:textFill>
        </w:rPr>
        <w:t>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bookmarkEnd w:id="10"/>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七</w:t>
      </w:r>
      <w:r>
        <w:rPr>
          <w:rFonts w:ascii="仿宋" w:hAnsi="仿宋" w:cs="Times New Roman"/>
          <w:color w:val="000000" w:themeColor="text1"/>
          <w:sz w:val="30"/>
          <w:szCs w:val="30"/>
          <w14:textFill>
            <w14:solidFill>
              <w14:schemeClr w14:val="tx1"/>
            </w14:solidFill>
          </w14:textFill>
        </w:rPr>
        <w:t>月</w:t>
      </w:r>
    </w:p>
    <w:sectPr>
      <w:footerReference r:id="rId11" w:type="default"/>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roma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FangSong">
    <w:panose1 w:val="02010609060101010101"/>
    <w:charset w:val="86"/>
    <w:family w:val="roman"/>
    <w:pitch w:val="default"/>
    <w:sig w:usb0="800002BF" w:usb1="38CF7CFA" w:usb2="00000016" w:usb3="00000000" w:csb0="00040001" w:csb1="00000000"/>
  </w:font>
  <w:font w:name="TimesNewRomanPSMT">
    <w:altName w:val="DejaVu Sans"/>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lang w:val="en-US"/>
      </w:rPr>
    </w:lvl>
  </w:abstractNum>
  <w:abstractNum w:abstractNumId="1">
    <w:nsid w:val="FFB306AF"/>
    <w:multiLevelType w:val="singleLevel"/>
    <w:tmpl w:val="FFB306AF"/>
    <w:lvl w:ilvl="0" w:tentative="0">
      <w:start w:val="1"/>
      <w:numFmt w:val="chineseCounting"/>
      <w:suff w:val="nothing"/>
      <w:lvlText w:val="（%1）"/>
      <w:lvlJc w:val="left"/>
      <w:rPr>
        <w:rFonts w:hint="eastAsia"/>
      </w:rPr>
    </w:lvl>
  </w:abstractNum>
  <w:abstractNum w:abstractNumId="2">
    <w:nsid w:val="00AA2052"/>
    <w:multiLevelType w:val="multilevel"/>
    <w:tmpl w:val="00AA2052"/>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3">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4">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0289F"/>
    <w:rsid w:val="00012061"/>
    <w:rsid w:val="00013043"/>
    <w:rsid w:val="0001604C"/>
    <w:rsid w:val="000250AA"/>
    <w:rsid w:val="00025609"/>
    <w:rsid w:val="000260BF"/>
    <w:rsid w:val="000269C3"/>
    <w:rsid w:val="00026CF9"/>
    <w:rsid w:val="00031A23"/>
    <w:rsid w:val="00031C01"/>
    <w:rsid w:val="0003224B"/>
    <w:rsid w:val="0003465B"/>
    <w:rsid w:val="0003534D"/>
    <w:rsid w:val="000356E8"/>
    <w:rsid w:val="000368C1"/>
    <w:rsid w:val="00041075"/>
    <w:rsid w:val="0004235A"/>
    <w:rsid w:val="00044595"/>
    <w:rsid w:val="000445AB"/>
    <w:rsid w:val="00044E9E"/>
    <w:rsid w:val="00046076"/>
    <w:rsid w:val="00046C0A"/>
    <w:rsid w:val="00052298"/>
    <w:rsid w:val="0005338B"/>
    <w:rsid w:val="000541B6"/>
    <w:rsid w:val="000549C2"/>
    <w:rsid w:val="00063F01"/>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C97"/>
    <w:rsid w:val="000B6F6D"/>
    <w:rsid w:val="000B7ED7"/>
    <w:rsid w:val="000C088E"/>
    <w:rsid w:val="000C1067"/>
    <w:rsid w:val="000C394B"/>
    <w:rsid w:val="000C6BA0"/>
    <w:rsid w:val="000D0227"/>
    <w:rsid w:val="000D1438"/>
    <w:rsid w:val="000D1696"/>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26B40"/>
    <w:rsid w:val="00130226"/>
    <w:rsid w:val="0013179F"/>
    <w:rsid w:val="001368ED"/>
    <w:rsid w:val="00140FA8"/>
    <w:rsid w:val="00141196"/>
    <w:rsid w:val="001450C4"/>
    <w:rsid w:val="0014549F"/>
    <w:rsid w:val="00145C4E"/>
    <w:rsid w:val="0014719A"/>
    <w:rsid w:val="00151156"/>
    <w:rsid w:val="001538F9"/>
    <w:rsid w:val="0016090A"/>
    <w:rsid w:val="00161BB2"/>
    <w:rsid w:val="00161C45"/>
    <w:rsid w:val="001634A3"/>
    <w:rsid w:val="001670AC"/>
    <w:rsid w:val="001703D1"/>
    <w:rsid w:val="00172BC7"/>
    <w:rsid w:val="001829AE"/>
    <w:rsid w:val="001846E1"/>
    <w:rsid w:val="00184A62"/>
    <w:rsid w:val="00185284"/>
    <w:rsid w:val="00185A24"/>
    <w:rsid w:val="00185D53"/>
    <w:rsid w:val="00190447"/>
    <w:rsid w:val="00190B52"/>
    <w:rsid w:val="00190E8E"/>
    <w:rsid w:val="00193B89"/>
    <w:rsid w:val="00193EB0"/>
    <w:rsid w:val="00193ECC"/>
    <w:rsid w:val="001949B0"/>
    <w:rsid w:val="0019638C"/>
    <w:rsid w:val="0019725F"/>
    <w:rsid w:val="001978C8"/>
    <w:rsid w:val="00197FD0"/>
    <w:rsid w:val="001A2019"/>
    <w:rsid w:val="001A6F08"/>
    <w:rsid w:val="001A7EE0"/>
    <w:rsid w:val="001B05D3"/>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69CD"/>
    <w:rsid w:val="00247AC2"/>
    <w:rsid w:val="002506FC"/>
    <w:rsid w:val="00251CFA"/>
    <w:rsid w:val="00253869"/>
    <w:rsid w:val="00253C9D"/>
    <w:rsid w:val="002579A2"/>
    <w:rsid w:val="00263CF8"/>
    <w:rsid w:val="00265503"/>
    <w:rsid w:val="0026626B"/>
    <w:rsid w:val="00266E71"/>
    <w:rsid w:val="00270B43"/>
    <w:rsid w:val="002720F9"/>
    <w:rsid w:val="00273CD5"/>
    <w:rsid w:val="0027405D"/>
    <w:rsid w:val="00274CBA"/>
    <w:rsid w:val="00275424"/>
    <w:rsid w:val="002765D8"/>
    <w:rsid w:val="00280956"/>
    <w:rsid w:val="00282E3C"/>
    <w:rsid w:val="00283DB2"/>
    <w:rsid w:val="00285023"/>
    <w:rsid w:val="00287EDC"/>
    <w:rsid w:val="0029138B"/>
    <w:rsid w:val="00291F95"/>
    <w:rsid w:val="00297B1D"/>
    <w:rsid w:val="002A1772"/>
    <w:rsid w:val="002A35AC"/>
    <w:rsid w:val="002A72F7"/>
    <w:rsid w:val="002A73B5"/>
    <w:rsid w:val="002B3568"/>
    <w:rsid w:val="002B42AA"/>
    <w:rsid w:val="002C0F70"/>
    <w:rsid w:val="002C119E"/>
    <w:rsid w:val="002C1D49"/>
    <w:rsid w:val="002C6B8C"/>
    <w:rsid w:val="002C7089"/>
    <w:rsid w:val="002D3C3B"/>
    <w:rsid w:val="002D41A0"/>
    <w:rsid w:val="002D73D9"/>
    <w:rsid w:val="002D797A"/>
    <w:rsid w:val="002E1F8D"/>
    <w:rsid w:val="002E33C4"/>
    <w:rsid w:val="002E3876"/>
    <w:rsid w:val="002E7D23"/>
    <w:rsid w:val="002F0A5F"/>
    <w:rsid w:val="002F0C9D"/>
    <w:rsid w:val="002F2E7D"/>
    <w:rsid w:val="002F3286"/>
    <w:rsid w:val="002F427D"/>
    <w:rsid w:val="002F482D"/>
    <w:rsid w:val="002F4EF4"/>
    <w:rsid w:val="0030086D"/>
    <w:rsid w:val="00300C20"/>
    <w:rsid w:val="0030185C"/>
    <w:rsid w:val="003036BD"/>
    <w:rsid w:val="00304788"/>
    <w:rsid w:val="00306BDB"/>
    <w:rsid w:val="00307223"/>
    <w:rsid w:val="0031011A"/>
    <w:rsid w:val="003116A5"/>
    <w:rsid w:val="00311CE6"/>
    <w:rsid w:val="0031230C"/>
    <w:rsid w:val="003129E7"/>
    <w:rsid w:val="003138C1"/>
    <w:rsid w:val="003140DD"/>
    <w:rsid w:val="00314687"/>
    <w:rsid w:val="00320EEE"/>
    <w:rsid w:val="003217D4"/>
    <w:rsid w:val="00322935"/>
    <w:rsid w:val="003232E1"/>
    <w:rsid w:val="00325A9D"/>
    <w:rsid w:val="003315C8"/>
    <w:rsid w:val="00332BA8"/>
    <w:rsid w:val="0033385C"/>
    <w:rsid w:val="00335E68"/>
    <w:rsid w:val="0033640B"/>
    <w:rsid w:val="00340164"/>
    <w:rsid w:val="003435C8"/>
    <w:rsid w:val="003435D2"/>
    <w:rsid w:val="0034490A"/>
    <w:rsid w:val="00345A5A"/>
    <w:rsid w:val="0034606A"/>
    <w:rsid w:val="00346B3E"/>
    <w:rsid w:val="00346E7A"/>
    <w:rsid w:val="0035311A"/>
    <w:rsid w:val="00356611"/>
    <w:rsid w:val="00357A3C"/>
    <w:rsid w:val="00361312"/>
    <w:rsid w:val="00362F19"/>
    <w:rsid w:val="003642E5"/>
    <w:rsid w:val="00370795"/>
    <w:rsid w:val="003719FB"/>
    <w:rsid w:val="003735FB"/>
    <w:rsid w:val="00374DAD"/>
    <w:rsid w:val="0037559E"/>
    <w:rsid w:val="00376C12"/>
    <w:rsid w:val="00380761"/>
    <w:rsid w:val="003819B6"/>
    <w:rsid w:val="003820BC"/>
    <w:rsid w:val="00385178"/>
    <w:rsid w:val="0038633B"/>
    <w:rsid w:val="00386E87"/>
    <w:rsid w:val="00387E17"/>
    <w:rsid w:val="003930B1"/>
    <w:rsid w:val="00393B2F"/>
    <w:rsid w:val="0039561D"/>
    <w:rsid w:val="00395DEB"/>
    <w:rsid w:val="003974BA"/>
    <w:rsid w:val="003A18ED"/>
    <w:rsid w:val="003A1C7E"/>
    <w:rsid w:val="003A2550"/>
    <w:rsid w:val="003A3C96"/>
    <w:rsid w:val="003A3D7E"/>
    <w:rsid w:val="003A708A"/>
    <w:rsid w:val="003B03DE"/>
    <w:rsid w:val="003B09AE"/>
    <w:rsid w:val="003B3E37"/>
    <w:rsid w:val="003B3F69"/>
    <w:rsid w:val="003C23AB"/>
    <w:rsid w:val="003C5F2F"/>
    <w:rsid w:val="003C6782"/>
    <w:rsid w:val="003D0664"/>
    <w:rsid w:val="003D18FB"/>
    <w:rsid w:val="003D3F42"/>
    <w:rsid w:val="003E39AD"/>
    <w:rsid w:val="003E424C"/>
    <w:rsid w:val="003E43F2"/>
    <w:rsid w:val="003E4A8B"/>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42A1"/>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3E4B"/>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17F7"/>
    <w:rsid w:val="00574BE2"/>
    <w:rsid w:val="005754DD"/>
    <w:rsid w:val="00576762"/>
    <w:rsid w:val="00580C9D"/>
    <w:rsid w:val="00581FF8"/>
    <w:rsid w:val="005846AD"/>
    <w:rsid w:val="00594EDE"/>
    <w:rsid w:val="0059595E"/>
    <w:rsid w:val="005A0757"/>
    <w:rsid w:val="005A36F3"/>
    <w:rsid w:val="005A4712"/>
    <w:rsid w:val="005B076F"/>
    <w:rsid w:val="005B5249"/>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38D2"/>
    <w:rsid w:val="00635142"/>
    <w:rsid w:val="00641E34"/>
    <w:rsid w:val="00644998"/>
    <w:rsid w:val="00646182"/>
    <w:rsid w:val="006502F1"/>
    <w:rsid w:val="00654353"/>
    <w:rsid w:val="00654ACD"/>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3EF6"/>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3438E"/>
    <w:rsid w:val="0073763F"/>
    <w:rsid w:val="00745C57"/>
    <w:rsid w:val="00750DE6"/>
    <w:rsid w:val="0075141F"/>
    <w:rsid w:val="0075174B"/>
    <w:rsid w:val="00751A75"/>
    <w:rsid w:val="007526FE"/>
    <w:rsid w:val="00753120"/>
    <w:rsid w:val="007544C5"/>
    <w:rsid w:val="00755F4B"/>
    <w:rsid w:val="00767F1F"/>
    <w:rsid w:val="00772A86"/>
    <w:rsid w:val="00773827"/>
    <w:rsid w:val="00774158"/>
    <w:rsid w:val="00777776"/>
    <w:rsid w:val="00783958"/>
    <w:rsid w:val="00784BA1"/>
    <w:rsid w:val="00784C5D"/>
    <w:rsid w:val="00785080"/>
    <w:rsid w:val="00785FE5"/>
    <w:rsid w:val="00786A27"/>
    <w:rsid w:val="00786D46"/>
    <w:rsid w:val="00787B48"/>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C6FEA"/>
    <w:rsid w:val="007D018C"/>
    <w:rsid w:val="007D2385"/>
    <w:rsid w:val="007D49ED"/>
    <w:rsid w:val="007D4C96"/>
    <w:rsid w:val="007D5E12"/>
    <w:rsid w:val="007D6CBD"/>
    <w:rsid w:val="007D7BCF"/>
    <w:rsid w:val="007E065D"/>
    <w:rsid w:val="007E09E4"/>
    <w:rsid w:val="007E1D2E"/>
    <w:rsid w:val="007E508E"/>
    <w:rsid w:val="007E783B"/>
    <w:rsid w:val="007F09C7"/>
    <w:rsid w:val="007F11CA"/>
    <w:rsid w:val="007F26C9"/>
    <w:rsid w:val="007F42B5"/>
    <w:rsid w:val="007F4E8F"/>
    <w:rsid w:val="007F6D47"/>
    <w:rsid w:val="00800D1B"/>
    <w:rsid w:val="008029D5"/>
    <w:rsid w:val="008030C0"/>
    <w:rsid w:val="0080318E"/>
    <w:rsid w:val="00803EB2"/>
    <w:rsid w:val="00806AD8"/>
    <w:rsid w:val="0080724C"/>
    <w:rsid w:val="00810C54"/>
    <w:rsid w:val="00814ADC"/>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67B91"/>
    <w:rsid w:val="0087045C"/>
    <w:rsid w:val="0087185D"/>
    <w:rsid w:val="00875076"/>
    <w:rsid w:val="00875624"/>
    <w:rsid w:val="00876889"/>
    <w:rsid w:val="0087701D"/>
    <w:rsid w:val="0087728A"/>
    <w:rsid w:val="00880469"/>
    <w:rsid w:val="00884977"/>
    <w:rsid w:val="00885D05"/>
    <w:rsid w:val="0088671C"/>
    <w:rsid w:val="00892181"/>
    <w:rsid w:val="00893474"/>
    <w:rsid w:val="0089392E"/>
    <w:rsid w:val="008A5E8B"/>
    <w:rsid w:val="008A6936"/>
    <w:rsid w:val="008B0C29"/>
    <w:rsid w:val="008B193B"/>
    <w:rsid w:val="008B1D6C"/>
    <w:rsid w:val="008B2CB1"/>
    <w:rsid w:val="008B4B2F"/>
    <w:rsid w:val="008B543F"/>
    <w:rsid w:val="008C02F4"/>
    <w:rsid w:val="008C098C"/>
    <w:rsid w:val="008C28DF"/>
    <w:rsid w:val="008C3446"/>
    <w:rsid w:val="008C61DE"/>
    <w:rsid w:val="008C6297"/>
    <w:rsid w:val="008C66AE"/>
    <w:rsid w:val="008D189A"/>
    <w:rsid w:val="008D1EBB"/>
    <w:rsid w:val="008D409C"/>
    <w:rsid w:val="008E0050"/>
    <w:rsid w:val="008E265D"/>
    <w:rsid w:val="008E301B"/>
    <w:rsid w:val="008E4048"/>
    <w:rsid w:val="008F12B1"/>
    <w:rsid w:val="008F3C13"/>
    <w:rsid w:val="008F6775"/>
    <w:rsid w:val="009003E1"/>
    <w:rsid w:val="00902A1E"/>
    <w:rsid w:val="00903270"/>
    <w:rsid w:val="00903B6A"/>
    <w:rsid w:val="00906DBF"/>
    <w:rsid w:val="00912987"/>
    <w:rsid w:val="00912AA4"/>
    <w:rsid w:val="00913CCA"/>
    <w:rsid w:val="00914917"/>
    <w:rsid w:val="00922895"/>
    <w:rsid w:val="00923BED"/>
    <w:rsid w:val="00925E3D"/>
    <w:rsid w:val="00927290"/>
    <w:rsid w:val="00933037"/>
    <w:rsid w:val="0093438C"/>
    <w:rsid w:val="009348C2"/>
    <w:rsid w:val="00937690"/>
    <w:rsid w:val="009402ED"/>
    <w:rsid w:val="0094370A"/>
    <w:rsid w:val="00943B82"/>
    <w:rsid w:val="0094598F"/>
    <w:rsid w:val="0094624F"/>
    <w:rsid w:val="009504F6"/>
    <w:rsid w:val="00952067"/>
    <w:rsid w:val="00952634"/>
    <w:rsid w:val="00952F8D"/>
    <w:rsid w:val="009541FF"/>
    <w:rsid w:val="009546DB"/>
    <w:rsid w:val="00955777"/>
    <w:rsid w:val="00956537"/>
    <w:rsid w:val="00956A92"/>
    <w:rsid w:val="00956F89"/>
    <w:rsid w:val="00961111"/>
    <w:rsid w:val="00965CFD"/>
    <w:rsid w:val="00965EE3"/>
    <w:rsid w:val="00972A4B"/>
    <w:rsid w:val="00976149"/>
    <w:rsid w:val="00981237"/>
    <w:rsid w:val="00986D1E"/>
    <w:rsid w:val="00992D72"/>
    <w:rsid w:val="00994B66"/>
    <w:rsid w:val="00997599"/>
    <w:rsid w:val="00997DD9"/>
    <w:rsid w:val="009A20F1"/>
    <w:rsid w:val="009A29A6"/>
    <w:rsid w:val="009A2DBB"/>
    <w:rsid w:val="009A6A38"/>
    <w:rsid w:val="009B1E79"/>
    <w:rsid w:val="009B239A"/>
    <w:rsid w:val="009B2425"/>
    <w:rsid w:val="009B50A8"/>
    <w:rsid w:val="009B5122"/>
    <w:rsid w:val="009B776B"/>
    <w:rsid w:val="009B7847"/>
    <w:rsid w:val="009C1BCE"/>
    <w:rsid w:val="009C4442"/>
    <w:rsid w:val="009C68F6"/>
    <w:rsid w:val="009D08E4"/>
    <w:rsid w:val="009D0A20"/>
    <w:rsid w:val="009D0C8F"/>
    <w:rsid w:val="009D0E44"/>
    <w:rsid w:val="009D1606"/>
    <w:rsid w:val="009D20B5"/>
    <w:rsid w:val="009D4937"/>
    <w:rsid w:val="009D5096"/>
    <w:rsid w:val="009D55D5"/>
    <w:rsid w:val="009D650D"/>
    <w:rsid w:val="009D7358"/>
    <w:rsid w:val="009E0A3E"/>
    <w:rsid w:val="009E173C"/>
    <w:rsid w:val="009E21EF"/>
    <w:rsid w:val="009E235E"/>
    <w:rsid w:val="009E586F"/>
    <w:rsid w:val="009E5A45"/>
    <w:rsid w:val="009F19B7"/>
    <w:rsid w:val="009F2FF0"/>
    <w:rsid w:val="009F3829"/>
    <w:rsid w:val="009F42A0"/>
    <w:rsid w:val="009F5D12"/>
    <w:rsid w:val="00A001E6"/>
    <w:rsid w:val="00A001F2"/>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3CB9"/>
    <w:rsid w:val="00A55B13"/>
    <w:rsid w:val="00A57358"/>
    <w:rsid w:val="00A57DD5"/>
    <w:rsid w:val="00A61174"/>
    <w:rsid w:val="00A61FBC"/>
    <w:rsid w:val="00A66D3D"/>
    <w:rsid w:val="00A67885"/>
    <w:rsid w:val="00A738B6"/>
    <w:rsid w:val="00A7532A"/>
    <w:rsid w:val="00A760AA"/>
    <w:rsid w:val="00A76B80"/>
    <w:rsid w:val="00A80719"/>
    <w:rsid w:val="00A826A8"/>
    <w:rsid w:val="00A84D36"/>
    <w:rsid w:val="00A85334"/>
    <w:rsid w:val="00A93767"/>
    <w:rsid w:val="00A93F52"/>
    <w:rsid w:val="00A94575"/>
    <w:rsid w:val="00A96DF3"/>
    <w:rsid w:val="00A97679"/>
    <w:rsid w:val="00AA2208"/>
    <w:rsid w:val="00AA571A"/>
    <w:rsid w:val="00AA6494"/>
    <w:rsid w:val="00AB1922"/>
    <w:rsid w:val="00AB2CB2"/>
    <w:rsid w:val="00AB71D0"/>
    <w:rsid w:val="00AB7C67"/>
    <w:rsid w:val="00AC39D8"/>
    <w:rsid w:val="00AC42F9"/>
    <w:rsid w:val="00AC6475"/>
    <w:rsid w:val="00AD16F8"/>
    <w:rsid w:val="00AD1D0F"/>
    <w:rsid w:val="00AD372B"/>
    <w:rsid w:val="00AD3E28"/>
    <w:rsid w:val="00AD6C7F"/>
    <w:rsid w:val="00AD7FCE"/>
    <w:rsid w:val="00AE068D"/>
    <w:rsid w:val="00AE3376"/>
    <w:rsid w:val="00AE4E81"/>
    <w:rsid w:val="00AE5D76"/>
    <w:rsid w:val="00AF01DE"/>
    <w:rsid w:val="00AF1709"/>
    <w:rsid w:val="00AF37CC"/>
    <w:rsid w:val="00AF7D4C"/>
    <w:rsid w:val="00B018EC"/>
    <w:rsid w:val="00B026CA"/>
    <w:rsid w:val="00B03859"/>
    <w:rsid w:val="00B03C6B"/>
    <w:rsid w:val="00B04645"/>
    <w:rsid w:val="00B102DC"/>
    <w:rsid w:val="00B10EA6"/>
    <w:rsid w:val="00B11519"/>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4648B"/>
    <w:rsid w:val="00B51370"/>
    <w:rsid w:val="00B52BB7"/>
    <w:rsid w:val="00B54F2F"/>
    <w:rsid w:val="00B57D40"/>
    <w:rsid w:val="00B61037"/>
    <w:rsid w:val="00B62B0E"/>
    <w:rsid w:val="00B66359"/>
    <w:rsid w:val="00B674AC"/>
    <w:rsid w:val="00B7792D"/>
    <w:rsid w:val="00B828F3"/>
    <w:rsid w:val="00B86908"/>
    <w:rsid w:val="00B92C02"/>
    <w:rsid w:val="00B93041"/>
    <w:rsid w:val="00BA01EB"/>
    <w:rsid w:val="00BA0B30"/>
    <w:rsid w:val="00BA1BBA"/>
    <w:rsid w:val="00BA268A"/>
    <w:rsid w:val="00BA2719"/>
    <w:rsid w:val="00BA59C2"/>
    <w:rsid w:val="00BA6036"/>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0B55"/>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3A5"/>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C73A6"/>
    <w:rsid w:val="00CD34F4"/>
    <w:rsid w:val="00CD3ADA"/>
    <w:rsid w:val="00CD3B46"/>
    <w:rsid w:val="00CD4258"/>
    <w:rsid w:val="00CD52C1"/>
    <w:rsid w:val="00CD709C"/>
    <w:rsid w:val="00CD7974"/>
    <w:rsid w:val="00CE58BF"/>
    <w:rsid w:val="00CE621D"/>
    <w:rsid w:val="00CE7308"/>
    <w:rsid w:val="00CF023C"/>
    <w:rsid w:val="00CF1607"/>
    <w:rsid w:val="00CF3008"/>
    <w:rsid w:val="00CF46B7"/>
    <w:rsid w:val="00CF47DE"/>
    <w:rsid w:val="00CF523A"/>
    <w:rsid w:val="00CF54E4"/>
    <w:rsid w:val="00CF56B2"/>
    <w:rsid w:val="00D00542"/>
    <w:rsid w:val="00D01E69"/>
    <w:rsid w:val="00D0254E"/>
    <w:rsid w:val="00D050DC"/>
    <w:rsid w:val="00D06919"/>
    <w:rsid w:val="00D07BA5"/>
    <w:rsid w:val="00D11549"/>
    <w:rsid w:val="00D11553"/>
    <w:rsid w:val="00D135AB"/>
    <w:rsid w:val="00D14351"/>
    <w:rsid w:val="00D15122"/>
    <w:rsid w:val="00D2039E"/>
    <w:rsid w:val="00D21029"/>
    <w:rsid w:val="00D24774"/>
    <w:rsid w:val="00D25831"/>
    <w:rsid w:val="00D26E2E"/>
    <w:rsid w:val="00D304CF"/>
    <w:rsid w:val="00D3138A"/>
    <w:rsid w:val="00D327D8"/>
    <w:rsid w:val="00D33AE8"/>
    <w:rsid w:val="00D3451F"/>
    <w:rsid w:val="00D36B25"/>
    <w:rsid w:val="00D36C17"/>
    <w:rsid w:val="00D37375"/>
    <w:rsid w:val="00D37A4D"/>
    <w:rsid w:val="00D41F50"/>
    <w:rsid w:val="00D436A8"/>
    <w:rsid w:val="00D46720"/>
    <w:rsid w:val="00D47770"/>
    <w:rsid w:val="00D50B84"/>
    <w:rsid w:val="00D53764"/>
    <w:rsid w:val="00D568B5"/>
    <w:rsid w:val="00D6173E"/>
    <w:rsid w:val="00D62264"/>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32A6"/>
    <w:rsid w:val="00DA5075"/>
    <w:rsid w:val="00DA6588"/>
    <w:rsid w:val="00DA71AA"/>
    <w:rsid w:val="00DB116B"/>
    <w:rsid w:val="00DB2FF2"/>
    <w:rsid w:val="00DB3F07"/>
    <w:rsid w:val="00DB64C2"/>
    <w:rsid w:val="00DB7A78"/>
    <w:rsid w:val="00DB7F60"/>
    <w:rsid w:val="00DC1518"/>
    <w:rsid w:val="00DC3134"/>
    <w:rsid w:val="00DC6D87"/>
    <w:rsid w:val="00DC7E69"/>
    <w:rsid w:val="00DD4297"/>
    <w:rsid w:val="00DD511B"/>
    <w:rsid w:val="00DD5FCD"/>
    <w:rsid w:val="00DD727F"/>
    <w:rsid w:val="00DD7745"/>
    <w:rsid w:val="00DE050F"/>
    <w:rsid w:val="00DE1310"/>
    <w:rsid w:val="00DE20B1"/>
    <w:rsid w:val="00DE3C58"/>
    <w:rsid w:val="00DF0A2D"/>
    <w:rsid w:val="00DF0DD4"/>
    <w:rsid w:val="00DF28D8"/>
    <w:rsid w:val="00DF5FDC"/>
    <w:rsid w:val="00DF6193"/>
    <w:rsid w:val="00DF6C4C"/>
    <w:rsid w:val="00DF6D2F"/>
    <w:rsid w:val="00E0292B"/>
    <w:rsid w:val="00E077E0"/>
    <w:rsid w:val="00E07EC5"/>
    <w:rsid w:val="00E105ED"/>
    <w:rsid w:val="00E10904"/>
    <w:rsid w:val="00E14A59"/>
    <w:rsid w:val="00E16FD3"/>
    <w:rsid w:val="00E22716"/>
    <w:rsid w:val="00E2366A"/>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0F35"/>
    <w:rsid w:val="00E8107B"/>
    <w:rsid w:val="00E81942"/>
    <w:rsid w:val="00E83BEC"/>
    <w:rsid w:val="00E8498D"/>
    <w:rsid w:val="00E86C20"/>
    <w:rsid w:val="00E91FFB"/>
    <w:rsid w:val="00E92CDB"/>
    <w:rsid w:val="00E95E00"/>
    <w:rsid w:val="00EA1D18"/>
    <w:rsid w:val="00EA3490"/>
    <w:rsid w:val="00EA53C5"/>
    <w:rsid w:val="00EA5468"/>
    <w:rsid w:val="00EA67C1"/>
    <w:rsid w:val="00EB08C3"/>
    <w:rsid w:val="00EB0A7E"/>
    <w:rsid w:val="00EB28E7"/>
    <w:rsid w:val="00EB2CC2"/>
    <w:rsid w:val="00EB498D"/>
    <w:rsid w:val="00EB5447"/>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50D3"/>
    <w:rsid w:val="00F06B9E"/>
    <w:rsid w:val="00F10199"/>
    <w:rsid w:val="00F10A6C"/>
    <w:rsid w:val="00F11617"/>
    <w:rsid w:val="00F1224D"/>
    <w:rsid w:val="00F12F25"/>
    <w:rsid w:val="00F14B77"/>
    <w:rsid w:val="00F15D2B"/>
    <w:rsid w:val="00F1638A"/>
    <w:rsid w:val="00F178F8"/>
    <w:rsid w:val="00F17FC4"/>
    <w:rsid w:val="00F22D08"/>
    <w:rsid w:val="00F238F1"/>
    <w:rsid w:val="00F24F0B"/>
    <w:rsid w:val="00F27F38"/>
    <w:rsid w:val="00F30CDA"/>
    <w:rsid w:val="00F32522"/>
    <w:rsid w:val="00F35EFB"/>
    <w:rsid w:val="00F425F6"/>
    <w:rsid w:val="00F42707"/>
    <w:rsid w:val="00F43740"/>
    <w:rsid w:val="00F555FB"/>
    <w:rsid w:val="00F57F3F"/>
    <w:rsid w:val="00F60079"/>
    <w:rsid w:val="00F61EBB"/>
    <w:rsid w:val="00F6339A"/>
    <w:rsid w:val="00F6347C"/>
    <w:rsid w:val="00F6534B"/>
    <w:rsid w:val="00F66772"/>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0FF5929"/>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BEEC4DB"/>
    <w:rsid w:val="1D2D6126"/>
    <w:rsid w:val="1ECA6FFC"/>
    <w:rsid w:val="1EEF8A5E"/>
    <w:rsid w:val="1F521020"/>
    <w:rsid w:val="1FD7F44E"/>
    <w:rsid w:val="1FE95D12"/>
    <w:rsid w:val="20561BB5"/>
    <w:rsid w:val="20626BAD"/>
    <w:rsid w:val="216929AF"/>
    <w:rsid w:val="229D21D1"/>
    <w:rsid w:val="230705BE"/>
    <w:rsid w:val="256A4E4D"/>
    <w:rsid w:val="257D3D3B"/>
    <w:rsid w:val="25A441E6"/>
    <w:rsid w:val="26DA0F8B"/>
    <w:rsid w:val="26FB70B7"/>
    <w:rsid w:val="28520641"/>
    <w:rsid w:val="29755D95"/>
    <w:rsid w:val="2B8925CC"/>
    <w:rsid w:val="2BA56CDA"/>
    <w:rsid w:val="2BDF024C"/>
    <w:rsid w:val="2CF366E0"/>
    <w:rsid w:val="2D281971"/>
    <w:rsid w:val="2E19750B"/>
    <w:rsid w:val="2ED8407A"/>
    <w:rsid w:val="2F7F4747"/>
    <w:rsid w:val="2FFF1467"/>
    <w:rsid w:val="2FFFDE81"/>
    <w:rsid w:val="32E60A1F"/>
    <w:rsid w:val="36FB266A"/>
    <w:rsid w:val="373B04F2"/>
    <w:rsid w:val="37671B3D"/>
    <w:rsid w:val="38675A43"/>
    <w:rsid w:val="393E55A6"/>
    <w:rsid w:val="39965EB4"/>
    <w:rsid w:val="39CD7B28"/>
    <w:rsid w:val="39E66E3B"/>
    <w:rsid w:val="3A414072"/>
    <w:rsid w:val="3A75E30D"/>
    <w:rsid w:val="3B3F5BFA"/>
    <w:rsid w:val="3B5D6616"/>
    <w:rsid w:val="3B90705F"/>
    <w:rsid w:val="3BB56AC5"/>
    <w:rsid w:val="3BDD2789"/>
    <w:rsid w:val="3BFDB5B0"/>
    <w:rsid w:val="3CAECD3E"/>
    <w:rsid w:val="3CC05DFB"/>
    <w:rsid w:val="3CC130FB"/>
    <w:rsid w:val="3CFFDC9A"/>
    <w:rsid w:val="3D433A82"/>
    <w:rsid w:val="3DFFEA66"/>
    <w:rsid w:val="3E5BFCE7"/>
    <w:rsid w:val="3EAE08CF"/>
    <w:rsid w:val="3EB17BB1"/>
    <w:rsid w:val="3ECBDB4B"/>
    <w:rsid w:val="3F0B730C"/>
    <w:rsid w:val="3F3FE49B"/>
    <w:rsid w:val="3F7B3204"/>
    <w:rsid w:val="3FEF2B63"/>
    <w:rsid w:val="3FF1653A"/>
    <w:rsid w:val="3FF5F299"/>
    <w:rsid w:val="42726354"/>
    <w:rsid w:val="42F07F88"/>
    <w:rsid w:val="43100A68"/>
    <w:rsid w:val="438751EB"/>
    <w:rsid w:val="45FB3C6E"/>
    <w:rsid w:val="46D149CF"/>
    <w:rsid w:val="4777B363"/>
    <w:rsid w:val="47EB2B8B"/>
    <w:rsid w:val="48F43B85"/>
    <w:rsid w:val="49956188"/>
    <w:rsid w:val="4B5856BF"/>
    <w:rsid w:val="4DE80F7C"/>
    <w:rsid w:val="4DFA9A0B"/>
    <w:rsid w:val="4EE80B08"/>
    <w:rsid w:val="4F440EC0"/>
    <w:rsid w:val="4F980CB9"/>
    <w:rsid w:val="522D1654"/>
    <w:rsid w:val="52DC2732"/>
    <w:rsid w:val="54866DF9"/>
    <w:rsid w:val="55683C90"/>
    <w:rsid w:val="560C77D2"/>
    <w:rsid w:val="56793117"/>
    <w:rsid w:val="56907AD8"/>
    <w:rsid w:val="579F4918"/>
    <w:rsid w:val="57CA92FF"/>
    <w:rsid w:val="57F624E8"/>
    <w:rsid w:val="59396B30"/>
    <w:rsid w:val="597FE23E"/>
    <w:rsid w:val="5A105AE3"/>
    <w:rsid w:val="5AD25B2D"/>
    <w:rsid w:val="5AFF5D00"/>
    <w:rsid w:val="5BFFB2A9"/>
    <w:rsid w:val="5C1271C4"/>
    <w:rsid w:val="5DBF98B0"/>
    <w:rsid w:val="5DEFC65C"/>
    <w:rsid w:val="5DFD263F"/>
    <w:rsid w:val="5E655CD1"/>
    <w:rsid w:val="5E7FF34C"/>
    <w:rsid w:val="5E9345EC"/>
    <w:rsid w:val="5ED3CBC8"/>
    <w:rsid w:val="5F1A4D0E"/>
    <w:rsid w:val="5F260774"/>
    <w:rsid w:val="5F570740"/>
    <w:rsid w:val="5F6D067F"/>
    <w:rsid w:val="5F717BBB"/>
    <w:rsid w:val="5F7E0BEC"/>
    <w:rsid w:val="5F8372E8"/>
    <w:rsid w:val="5FA02DB5"/>
    <w:rsid w:val="5FBF4F2C"/>
    <w:rsid w:val="5FFF43FE"/>
    <w:rsid w:val="5FFFC74F"/>
    <w:rsid w:val="60455DBA"/>
    <w:rsid w:val="617D396E"/>
    <w:rsid w:val="61B962B6"/>
    <w:rsid w:val="62F35CA0"/>
    <w:rsid w:val="65D60872"/>
    <w:rsid w:val="65E6501A"/>
    <w:rsid w:val="663F14FE"/>
    <w:rsid w:val="66742F55"/>
    <w:rsid w:val="66A24A95"/>
    <w:rsid w:val="66FE9028"/>
    <w:rsid w:val="672901E4"/>
    <w:rsid w:val="676F2E36"/>
    <w:rsid w:val="67E0517D"/>
    <w:rsid w:val="69385A69"/>
    <w:rsid w:val="69977CA6"/>
    <w:rsid w:val="6AC0514F"/>
    <w:rsid w:val="6B3ED7EF"/>
    <w:rsid w:val="6B5E2426"/>
    <w:rsid w:val="6BAF49D7"/>
    <w:rsid w:val="6BDAAE92"/>
    <w:rsid w:val="6BDB0007"/>
    <w:rsid w:val="6D3EF44F"/>
    <w:rsid w:val="6D57537F"/>
    <w:rsid w:val="6EEC7C05"/>
    <w:rsid w:val="6EF7FB43"/>
    <w:rsid w:val="6F0E72E3"/>
    <w:rsid w:val="6F3FD601"/>
    <w:rsid w:val="6F595111"/>
    <w:rsid w:val="6F7B5D25"/>
    <w:rsid w:val="6F7E6FE4"/>
    <w:rsid w:val="6F8E7DFB"/>
    <w:rsid w:val="6F9D176F"/>
    <w:rsid w:val="6F9E6F7F"/>
    <w:rsid w:val="6FD5E464"/>
    <w:rsid w:val="6FDC4AB2"/>
    <w:rsid w:val="714654A2"/>
    <w:rsid w:val="717BF8EC"/>
    <w:rsid w:val="725620A9"/>
    <w:rsid w:val="725957A4"/>
    <w:rsid w:val="727D7636"/>
    <w:rsid w:val="72DF9CBC"/>
    <w:rsid w:val="72EF642E"/>
    <w:rsid w:val="735FD80B"/>
    <w:rsid w:val="73631280"/>
    <w:rsid w:val="73D2043A"/>
    <w:rsid w:val="74081181"/>
    <w:rsid w:val="746E6CBC"/>
    <w:rsid w:val="74B9A86A"/>
    <w:rsid w:val="756D573F"/>
    <w:rsid w:val="75B23A9A"/>
    <w:rsid w:val="75FB294F"/>
    <w:rsid w:val="777D0B3C"/>
    <w:rsid w:val="77DF3EE4"/>
    <w:rsid w:val="77EF68A8"/>
    <w:rsid w:val="77F5F9F5"/>
    <w:rsid w:val="781047FF"/>
    <w:rsid w:val="78EE8AE9"/>
    <w:rsid w:val="78FED345"/>
    <w:rsid w:val="79AA1EC1"/>
    <w:rsid w:val="79DB3337"/>
    <w:rsid w:val="79EB2676"/>
    <w:rsid w:val="79EF7B77"/>
    <w:rsid w:val="7A7C01D3"/>
    <w:rsid w:val="7AB81FDE"/>
    <w:rsid w:val="7B35CFCF"/>
    <w:rsid w:val="7B7798A8"/>
    <w:rsid w:val="7B87ADFD"/>
    <w:rsid w:val="7B9F513B"/>
    <w:rsid w:val="7BBD4197"/>
    <w:rsid w:val="7BDD8BB7"/>
    <w:rsid w:val="7BFB1DD4"/>
    <w:rsid w:val="7BFB8619"/>
    <w:rsid w:val="7BFD65C2"/>
    <w:rsid w:val="7BFF2C1A"/>
    <w:rsid w:val="7BFF5630"/>
    <w:rsid w:val="7CEA3B1A"/>
    <w:rsid w:val="7CFBCD28"/>
    <w:rsid w:val="7CFF4866"/>
    <w:rsid w:val="7DAC5273"/>
    <w:rsid w:val="7DF70403"/>
    <w:rsid w:val="7DFD1DEE"/>
    <w:rsid w:val="7DFD5E0E"/>
    <w:rsid w:val="7DFEEA8C"/>
    <w:rsid w:val="7DFFA554"/>
    <w:rsid w:val="7E5D8A7E"/>
    <w:rsid w:val="7E7E47F9"/>
    <w:rsid w:val="7EDD3931"/>
    <w:rsid w:val="7F1BE155"/>
    <w:rsid w:val="7F390D88"/>
    <w:rsid w:val="7F3F0D10"/>
    <w:rsid w:val="7F3F73B1"/>
    <w:rsid w:val="7F5BBB08"/>
    <w:rsid w:val="7F5C5896"/>
    <w:rsid w:val="7F5E7AA8"/>
    <w:rsid w:val="7F5F614A"/>
    <w:rsid w:val="7F6D9F13"/>
    <w:rsid w:val="7F7F1E52"/>
    <w:rsid w:val="7FA649FE"/>
    <w:rsid w:val="7FB80DC6"/>
    <w:rsid w:val="7FBC18E3"/>
    <w:rsid w:val="7FBE728F"/>
    <w:rsid w:val="7FE764C5"/>
    <w:rsid w:val="7FE793A0"/>
    <w:rsid w:val="7FFBAE23"/>
    <w:rsid w:val="8FF4B70F"/>
    <w:rsid w:val="93CED21E"/>
    <w:rsid w:val="9F177382"/>
    <w:rsid w:val="9FAD1A15"/>
    <w:rsid w:val="9FDD41DF"/>
    <w:rsid w:val="9FEFD66B"/>
    <w:rsid w:val="9FFE33BC"/>
    <w:rsid w:val="A15FF62B"/>
    <w:rsid w:val="A5AD745F"/>
    <w:rsid w:val="AA7F297B"/>
    <w:rsid w:val="AD9FB247"/>
    <w:rsid w:val="AEFBBF3A"/>
    <w:rsid w:val="AF4DFF40"/>
    <w:rsid w:val="AFDFB9F0"/>
    <w:rsid w:val="AFF8161C"/>
    <w:rsid w:val="B3F35DC9"/>
    <w:rsid w:val="B5DEB0EC"/>
    <w:rsid w:val="B62F936F"/>
    <w:rsid w:val="B69BE022"/>
    <w:rsid w:val="B6FFE438"/>
    <w:rsid w:val="B76DEE97"/>
    <w:rsid w:val="B7853FBC"/>
    <w:rsid w:val="B7D54296"/>
    <w:rsid w:val="B7F49A63"/>
    <w:rsid w:val="B8FFD2EA"/>
    <w:rsid w:val="B98FC758"/>
    <w:rsid w:val="B9EBFE7D"/>
    <w:rsid w:val="BAD62BB7"/>
    <w:rsid w:val="BAEFF794"/>
    <w:rsid w:val="BB170228"/>
    <w:rsid w:val="BC4F59DE"/>
    <w:rsid w:val="BEAF67A6"/>
    <w:rsid w:val="BF7BBCD9"/>
    <w:rsid w:val="BFD98349"/>
    <w:rsid w:val="BFFB9A94"/>
    <w:rsid w:val="C7DFAEE8"/>
    <w:rsid w:val="C7F339C1"/>
    <w:rsid w:val="CF7F9C1B"/>
    <w:rsid w:val="D7BB5CC1"/>
    <w:rsid w:val="D9AE57B7"/>
    <w:rsid w:val="D9FB2196"/>
    <w:rsid w:val="DAF530C2"/>
    <w:rsid w:val="DB9FACD2"/>
    <w:rsid w:val="DBEF64D2"/>
    <w:rsid w:val="DBFED606"/>
    <w:rsid w:val="DD6F7E4D"/>
    <w:rsid w:val="DDEB75A2"/>
    <w:rsid w:val="DDFB3EDB"/>
    <w:rsid w:val="DEA6FCAD"/>
    <w:rsid w:val="DEBF684A"/>
    <w:rsid w:val="DEE3DFEC"/>
    <w:rsid w:val="DEFD4B1D"/>
    <w:rsid w:val="DF7EB79F"/>
    <w:rsid w:val="DFAFC070"/>
    <w:rsid w:val="DFD180E1"/>
    <w:rsid w:val="DFD3A7CC"/>
    <w:rsid w:val="E30F60D7"/>
    <w:rsid w:val="E6DDE270"/>
    <w:rsid w:val="E7AF39AB"/>
    <w:rsid w:val="E7B4D7A0"/>
    <w:rsid w:val="E7BBF913"/>
    <w:rsid w:val="EB2F7A1E"/>
    <w:rsid w:val="ECF79E52"/>
    <w:rsid w:val="ECFD9A33"/>
    <w:rsid w:val="EDFC6516"/>
    <w:rsid w:val="EDFF523B"/>
    <w:rsid w:val="EF7A6E9B"/>
    <w:rsid w:val="EF7F03BF"/>
    <w:rsid w:val="EFADBCFE"/>
    <w:rsid w:val="EFFBDC71"/>
    <w:rsid w:val="EFFDBF2E"/>
    <w:rsid w:val="F1FF4F12"/>
    <w:rsid w:val="F1FFABFC"/>
    <w:rsid w:val="F2A6FAF4"/>
    <w:rsid w:val="F36F127E"/>
    <w:rsid w:val="F375F358"/>
    <w:rsid w:val="F3FF6B2E"/>
    <w:rsid w:val="F675BCEF"/>
    <w:rsid w:val="F7755AFA"/>
    <w:rsid w:val="F77B5138"/>
    <w:rsid w:val="F7BF17B5"/>
    <w:rsid w:val="F7BFCA1C"/>
    <w:rsid w:val="F7DE07F1"/>
    <w:rsid w:val="F7DF0899"/>
    <w:rsid w:val="F7E6BD8F"/>
    <w:rsid w:val="F7F7965E"/>
    <w:rsid w:val="F7FDAE24"/>
    <w:rsid w:val="F9EF7DDE"/>
    <w:rsid w:val="F9FF741D"/>
    <w:rsid w:val="FA377B1A"/>
    <w:rsid w:val="FABFF295"/>
    <w:rsid w:val="FAFE8E78"/>
    <w:rsid w:val="FB2C33A5"/>
    <w:rsid w:val="FB4F70B7"/>
    <w:rsid w:val="FB6E9F8A"/>
    <w:rsid w:val="FBF7DC86"/>
    <w:rsid w:val="FBFA66BD"/>
    <w:rsid w:val="FBFDFFF7"/>
    <w:rsid w:val="FBFF72B9"/>
    <w:rsid w:val="FBFFB983"/>
    <w:rsid w:val="FBFFF29D"/>
    <w:rsid w:val="FDB7E4C2"/>
    <w:rsid w:val="FDED9F44"/>
    <w:rsid w:val="FED6FD2B"/>
    <w:rsid w:val="FEEF5ACD"/>
    <w:rsid w:val="FF3E966B"/>
    <w:rsid w:val="FF49EB40"/>
    <w:rsid w:val="FFB22C02"/>
    <w:rsid w:val="FFBEF6C2"/>
    <w:rsid w:val="FFBFDE2D"/>
    <w:rsid w:val="FFCAA4AA"/>
    <w:rsid w:val="FFDF21AA"/>
    <w:rsid w:val="FFDFA79E"/>
    <w:rsid w:val="FFE9AAAA"/>
    <w:rsid w:val="FFEB51BA"/>
    <w:rsid w:val="FFEEC741"/>
    <w:rsid w:val="FFFB49BC"/>
    <w:rsid w:val="FFFFF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 w:type="character" w:customStyle="1" w:styleId="104">
    <w:name w:val="fontstyle01"/>
    <w:basedOn w:val="38"/>
    <w:qFormat/>
    <w:uiPriority w:val="0"/>
    <w:rPr>
      <w:rFonts w:hint="default" w:ascii="FangSong" w:hAnsi="FangSong"/>
      <w:color w:val="000000"/>
      <w:sz w:val="30"/>
      <w:szCs w:val="30"/>
    </w:rPr>
  </w:style>
  <w:style w:type="character" w:customStyle="1" w:styleId="105">
    <w:name w:val="fontstyle11"/>
    <w:basedOn w:val="38"/>
    <w:qFormat/>
    <w:uiPriority w:val="0"/>
    <w:rPr>
      <w:rFonts w:hint="default" w:ascii="TimesNewRomanPSMT" w:hAnsi="TimesNewRomanPSMT"/>
      <w:color w:val="000000"/>
      <w:sz w:val="30"/>
      <w:szCs w:val="30"/>
    </w:rPr>
  </w:style>
  <w:style w:type="character" w:customStyle="1" w:styleId="106">
    <w:name w:val="fontstyle21"/>
    <w:basedOn w:val="38"/>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1003</Words>
  <Characters>5719</Characters>
  <Lines>47</Lines>
  <Paragraphs>13</Paragraphs>
  <TotalTime>2</TotalTime>
  <ScaleCrop>false</ScaleCrop>
  <LinksUpToDate>false</LinksUpToDate>
  <CharactersWithSpaces>6709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2022-11-28T00:54:00Z</dcterms:created>
  <dc:creator>张恒zh</dc:creator>
  <cp:lastModifiedBy>gaoduo</cp:lastModifiedBy>
  <cp:lastPrinted>2021-09-26T22:03:00Z</cp:lastPrinted>
  <dcterms:modified xsi:type="dcterms:W3CDTF">2023-07-07T15:24:57Z</dcterms:modified>
  <dc:title>北证办发〔2023〕X号附件1</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