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bookmarkStart w:id="86" w:name="_GoBack"/>
      <w:bookmarkEnd w:id="86"/>
    </w:p>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r>
        <w:rPr>
          <w:rFonts w:hint="eastAsia" w:ascii="方正大标宋简体" w:eastAsia="方正大标宋简体" w:cs="Times New Roman"/>
          <w:color w:val="000000" w:themeColor="text1"/>
          <w:sz w:val="36"/>
          <w14:textFill>
            <w14:solidFill>
              <w14:schemeClr w14:val="tx1"/>
            </w14:solidFill>
          </w14:textFill>
        </w:rPr>
        <w:t>工程技术文档</w:t>
      </w: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北京证券交易所融资融券业务</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二二年十二月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北京证券交易所融资融券业务通关测试方案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202</w:t>
            </w:r>
            <w:r>
              <w:rPr>
                <w:rFonts w:hint="eastAsia" w:ascii="Times New Roman" w:hAnsi="Times New Roman" w:eastAsia="方正仿宋简体"/>
                <w:color w:val="000000" w:themeColor="text1"/>
                <w:szCs w:val="24"/>
                <w14:textFill>
                  <w14:solidFill>
                    <w14:schemeClr w14:val="tx1"/>
                  </w14:solidFill>
                </w14:textFill>
              </w:rPr>
              <w:t>2</w:t>
            </w:r>
            <w:r>
              <w:rPr>
                <w:rFonts w:ascii="Times New Roman" w:hAnsi="Times New Roman" w:eastAsia="方正仿宋简体"/>
                <w:color w:val="000000" w:themeColor="text1"/>
                <w:szCs w:val="24"/>
                <w14:textFill>
                  <w14:solidFill>
                    <w14:schemeClr w14:val="tx1"/>
                  </w14:solidFill>
                </w14:textFill>
              </w:rPr>
              <w:t>.12.7</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"_Toc119341896" </w:instrText>
      </w:r>
      <w:r>
        <w:fldChar w:fldCharType="separate"/>
      </w:r>
      <w:r>
        <w:rPr>
          <w:rStyle w:val="43"/>
          <w:rFonts w:hint="eastAsia"/>
        </w:rPr>
        <w:t>一、测试目的和背景</w:t>
      </w:r>
      <w:r>
        <w:tab/>
      </w:r>
      <w:r>
        <w:fldChar w:fldCharType="begin"/>
      </w:r>
      <w:r>
        <w:instrText xml:space="preserve"> PAGEREF _Toc119341896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"_Toc119341897" </w:instrText>
      </w:r>
      <w:r>
        <w:fldChar w:fldCharType="separate"/>
      </w:r>
      <w:r>
        <w:rPr>
          <w:rStyle w:val="43"/>
          <w:rFonts w:hint="eastAsia"/>
        </w:rPr>
        <w:t>二、参测机构</w:t>
      </w:r>
      <w:r>
        <w:tab/>
      </w:r>
      <w:r>
        <w:fldChar w:fldCharType="begin"/>
      </w:r>
      <w:r>
        <w:instrText xml:space="preserve"> PAGEREF _Toc119341897 \h </w:instrText>
      </w:r>
      <w:r>
        <w:fldChar w:fldCharType="separate"/>
      </w:r>
      <w:r>
        <w:t>- 4 -</w:t>
      </w:r>
      <w:r>
        <w:fldChar w:fldCharType="end"/>
      </w:r>
      <w:r>
        <w:fldChar w:fldCharType="end"/>
      </w:r>
    </w:p>
    <w:p>
      <w:pPr>
        <w:pStyle w:val="26"/>
        <w:tabs>
          <w:tab w:val="left" w:pos="2100"/>
          <w:tab w:val="right" w:leader="dot" w:pos="8296"/>
        </w:tabs>
        <w:ind w:firstLine="480"/>
        <w:rPr>
          <w:rFonts w:asciiTheme="minorHAnsi" w:hAnsiTheme="minorHAnsi" w:eastAsiaTheme="minorEastAsia" w:cstheme="minorBidi"/>
          <w:sz w:val="21"/>
        </w:rPr>
      </w:pPr>
      <w:r>
        <w:fldChar w:fldCharType="begin"/>
      </w:r>
      <w:r>
        <w:instrText xml:space="preserve"> HYPERLINK \l "_Toc119341898" </w:instrText>
      </w:r>
      <w:r>
        <w:fldChar w:fldCharType="separate"/>
      </w:r>
      <w:r>
        <w:rPr>
          <w:rStyle w:val="43"/>
          <w:rFonts w:hint="eastAsia"/>
        </w:rPr>
        <w:t>三、参考技术规范</w:t>
      </w:r>
      <w:r>
        <w:tab/>
      </w:r>
      <w:r>
        <w:fldChar w:fldCharType="begin"/>
      </w:r>
      <w:r>
        <w:instrText xml:space="preserve"> PAGEREF _Toc119341898 \h </w:instrText>
      </w:r>
      <w:r>
        <w:fldChar w:fldCharType="separate"/>
      </w:r>
      <w:r>
        <w:t>- 4 -</w:t>
      </w:r>
      <w:r>
        <w:fldChar w:fldCharType="end"/>
      </w:r>
      <w:r>
        <w:fldChar w:fldCharType="end"/>
      </w:r>
    </w:p>
    <w:p>
      <w:pPr>
        <w:pStyle w:val="26"/>
        <w:tabs>
          <w:tab w:val="left" w:pos="2100"/>
          <w:tab w:val="right" w:leader="dot" w:pos="8296"/>
        </w:tabs>
        <w:ind w:firstLine="480"/>
        <w:rPr>
          <w:rFonts w:asciiTheme="minorHAnsi" w:hAnsiTheme="minorHAnsi" w:eastAsiaTheme="minorEastAsia" w:cstheme="minorBidi"/>
          <w:sz w:val="21"/>
        </w:rPr>
      </w:pPr>
      <w:r>
        <w:fldChar w:fldCharType="begin"/>
      </w:r>
      <w:r>
        <w:instrText xml:space="preserve"> HYPERLINK \l "_Toc119341899" </w:instrText>
      </w:r>
      <w:r>
        <w:fldChar w:fldCharType="separate"/>
      </w:r>
      <w:r>
        <w:rPr>
          <w:rStyle w:val="43"/>
          <w:rFonts w:hint="eastAsia"/>
        </w:rPr>
        <w:t>四、参测技术系统</w:t>
      </w:r>
      <w:r>
        <w:tab/>
      </w:r>
      <w:r>
        <w:fldChar w:fldCharType="begin"/>
      </w:r>
      <w:r>
        <w:instrText xml:space="preserve"> PAGEREF _Toc119341899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"_Toc119341900" </w:instrText>
      </w:r>
      <w:r>
        <w:fldChar w:fldCharType="separate"/>
      </w:r>
      <w:r>
        <w:rPr>
          <w:rStyle w:val="43"/>
          <w:rFonts w:hint="eastAsia"/>
        </w:rPr>
        <w:t>五、测试时间安排</w:t>
      </w:r>
      <w:r>
        <w:tab/>
      </w:r>
      <w:r>
        <w:fldChar w:fldCharType="begin"/>
      </w:r>
      <w:r>
        <w:instrText xml:space="preserve"> PAGEREF _Toc119341900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"_Toc119341901" </w:instrText>
      </w:r>
      <w:r>
        <w:fldChar w:fldCharType="separate"/>
      </w:r>
      <w:r>
        <w:rPr>
          <w:rStyle w:val="43"/>
          <w:rFonts w:hint="eastAsia"/>
        </w:rPr>
        <w:t>六、 测试内容</w:t>
      </w:r>
      <w:r>
        <w:tab/>
      </w:r>
      <w:r>
        <w:fldChar w:fldCharType="begin"/>
      </w:r>
      <w:r>
        <w:instrText xml:space="preserve"> PAGEREF _Toc119341901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"_Toc119341902" </w:instrText>
      </w:r>
      <w:r>
        <w:fldChar w:fldCharType="separate"/>
      </w:r>
      <w:r>
        <w:rPr>
          <w:rStyle w:val="43"/>
          <w:rFonts w:hint="eastAsia"/>
        </w:rPr>
        <w:t>七、 测试场景及要求</w:t>
      </w:r>
      <w:r>
        <w:tab/>
      </w:r>
      <w:r>
        <w:fldChar w:fldCharType="begin"/>
      </w:r>
      <w:r>
        <w:instrText xml:space="preserve"> PAGEREF _Toc119341902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"_Toc119341903" </w:instrText>
      </w:r>
      <w:r>
        <w:fldChar w:fldCharType="separate"/>
      </w:r>
      <w:r>
        <w:rPr>
          <w:rStyle w:val="43"/>
          <w:rFonts w:hint="eastAsia"/>
        </w:rPr>
        <w:t>（一）测试场景</w:t>
      </w:r>
      <w:r>
        <w:tab/>
      </w:r>
      <w:r>
        <w:fldChar w:fldCharType="begin"/>
      </w:r>
      <w:r>
        <w:instrText xml:space="preserve"> PAGEREF _Toc119341903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"_Toc119341904" </w:instrText>
      </w:r>
      <w:r>
        <w:fldChar w:fldCharType="separate"/>
      </w:r>
      <w:r>
        <w:rPr>
          <w:rStyle w:val="43"/>
          <w:rFonts w:hint="eastAsia"/>
        </w:rPr>
        <w:t>（二）交易类测试要求</w:t>
      </w:r>
      <w:r>
        <w:tab/>
      </w:r>
      <w:r>
        <w:fldChar w:fldCharType="begin"/>
      </w:r>
      <w:r>
        <w:instrText xml:space="preserve"> PAGEREF _Toc119341904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"_Toc119341905" </w:instrText>
      </w:r>
      <w:r>
        <w:fldChar w:fldCharType="separate"/>
      </w:r>
      <w:r>
        <w:rPr>
          <w:rStyle w:val="43"/>
          <w:rFonts w:hint="eastAsia"/>
        </w:rPr>
        <w:t>八、 测试数据准备</w:t>
      </w:r>
      <w:r>
        <w:tab/>
      </w:r>
      <w:r>
        <w:fldChar w:fldCharType="begin"/>
      </w:r>
      <w:r>
        <w:instrText xml:space="preserve"> PAGEREF _Toc119341905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"_Toc119341906" </w:instrText>
      </w:r>
      <w:r>
        <w:fldChar w:fldCharType="separate"/>
      </w:r>
      <w:r>
        <w:rPr>
          <w:rStyle w:val="43"/>
          <w:rFonts w:hint="eastAsia"/>
        </w:rPr>
        <w:t>（一）挂牌情况、证券行情和证券信息</w:t>
      </w:r>
      <w:r>
        <w:tab/>
      </w:r>
      <w:r>
        <w:fldChar w:fldCharType="begin"/>
      </w:r>
      <w:r>
        <w:instrText xml:space="preserve"> PAGEREF _Toc119341906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"_Toc119341907" </w:instrText>
      </w:r>
      <w:r>
        <w:fldChar w:fldCharType="separate"/>
      </w:r>
      <w:r>
        <w:rPr>
          <w:rStyle w:val="43"/>
          <w:rFonts w:hint="eastAsia"/>
        </w:rPr>
        <w:t>（二）证券账户、交易单元、托管单元及持仓</w:t>
      </w:r>
      <w:r>
        <w:tab/>
      </w:r>
      <w:r>
        <w:fldChar w:fldCharType="begin"/>
      </w:r>
      <w:r>
        <w:instrText xml:space="preserve"> PAGEREF _Toc119341907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"_Toc119341908" </w:instrText>
      </w:r>
      <w:r>
        <w:fldChar w:fldCharType="separate"/>
      </w:r>
      <w:r>
        <w:rPr>
          <w:rStyle w:val="43"/>
          <w:rFonts w:hint="eastAsia"/>
        </w:rPr>
        <w:t>（三）交易网关、行情网关和结算网关</w:t>
      </w:r>
      <w:r>
        <w:tab/>
      </w:r>
      <w:r>
        <w:fldChar w:fldCharType="begin"/>
      </w:r>
      <w:r>
        <w:instrText xml:space="preserve"> PAGEREF _Toc119341908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"_Toc119341909" </w:instrText>
      </w:r>
      <w:r>
        <w:fldChar w:fldCharType="separate"/>
      </w:r>
      <w:r>
        <w:rPr>
          <w:rStyle w:val="43"/>
          <w:rFonts w:hint="eastAsia"/>
        </w:rPr>
        <w:t>九、 测试系统接入方式</w:t>
      </w:r>
      <w:r>
        <w:tab/>
      </w:r>
      <w:r>
        <w:fldChar w:fldCharType="begin"/>
      </w:r>
      <w:r>
        <w:instrText xml:space="preserve"> PAGEREF _Toc119341909 \h </w:instrText>
      </w:r>
      <w:r>
        <w:fldChar w:fldCharType="separate"/>
      </w:r>
      <w:r>
        <w:t>- 10 -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"_Toc119341910" </w:instrText>
      </w:r>
      <w:r>
        <w:fldChar w:fldCharType="separate"/>
      </w:r>
      <w:r>
        <w:rPr>
          <w:rStyle w:val="43"/>
          <w:rFonts w:hint="eastAsia"/>
        </w:rPr>
        <w:t>（一）参测机构接入深证通</w:t>
      </w:r>
      <w:r>
        <w:tab/>
      </w:r>
      <w:r>
        <w:fldChar w:fldCharType="begin"/>
      </w:r>
      <w:r>
        <w:instrText xml:space="preserve"> PAGEREF _Toc119341910 \h </w:instrText>
      </w:r>
      <w:r>
        <w:fldChar w:fldCharType="separate"/>
      </w:r>
      <w:r>
        <w:t>- 10 -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"_Toc119341911" </w:instrText>
      </w:r>
      <w:r>
        <w:fldChar w:fldCharType="separate"/>
      </w:r>
      <w:r>
        <w:rPr>
          <w:rStyle w:val="43"/>
          <w:rFonts w:hint="eastAsia"/>
        </w:rPr>
        <w:t>（二）参测机构接入中国结算</w:t>
      </w:r>
      <w:r>
        <w:tab/>
      </w:r>
      <w:r>
        <w:fldChar w:fldCharType="begin"/>
      </w:r>
      <w:r>
        <w:instrText xml:space="preserve"> PAGEREF _Toc119341911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"_Toc119341912" </w:instrText>
      </w:r>
      <w:r>
        <w:fldChar w:fldCharType="separate"/>
      </w:r>
      <w:r>
        <w:rPr>
          <w:rStyle w:val="43"/>
          <w:rFonts w:hint="eastAsia"/>
        </w:rPr>
        <w:t>十、测试要求及注意事项</w:t>
      </w:r>
      <w:r>
        <w:tab/>
      </w:r>
      <w:r>
        <w:fldChar w:fldCharType="begin"/>
      </w:r>
      <w:r>
        <w:instrText xml:space="preserve"> PAGEREF _Toc119341912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"_Toc119341913" </w:instrText>
      </w:r>
      <w:r>
        <w:fldChar w:fldCharType="separate"/>
      </w:r>
      <w:r>
        <w:rPr>
          <w:rStyle w:val="43"/>
          <w:rFonts w:hint="eastAsia"/>
        </w:rPr>
        <w:t>十一、联系方式</w:t>
      </w:r>
      <w:r>
        <w:tab/>
      </w:r>
      <w:r>
        <w:fldChar w:fldCharType="begin"/>
      </w:r>
      <w:r>
        <w:instrText xml:space="preserve"> PAGEREF _Toc119341913 \h </w:instrText>
      </w:r>
      <w:r>
        <w:fldChar w:fldCharType="separate"/>
      </w:r>
      <w:r>
        <w:t>- 12 -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5557957"/>
      <w:bookmarkStart w:id="2" w:name="_Toc374381845"/>
      <w:bookmarkStart w:id="3" w:name="_Toc376597516"/>
      <w:bookmarkStart w:id="4" w:name="_Toc374957903"/>
      <w:bookmarkStart w:id="5" w:name="_Toc375070721"/>
      <w:bookmarkStart w:id="6" w:name="_Toc376285219"/>
      <w:bookmarkStart w:id="7" w:name="_Toc119341896"/>
      <w:bookmarkStart w:id="8" w:name="_Toc374381911"/>
      <w:bookmarkStart w:id="9"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为验证拟开展北京证券交易所融资融券业务的会员等市场参与者技术系统的准备情况，北京证券交易所（以下简称“北交所”）、全国中小企业股份转让系统有限责任公司（以下简称“全国股转公司”） 联合中国证券登记结算有限责任公司（以下简称“中国结算”）、 深圳证券通信有限公司（以下简称“深证通”） 共同搭建测试环境供市场进行通关测试。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认真阅读本测试方案，在测试过程中按照要求进行充分测试。</w:t>
      </w:r>
    </w:p>
    <w:p>
      <w:pPr>
        <w:pStyle w:val="72"/>
        <w:spacing w:before="163" w:after="163"/>
        <w:ind w:firstLine="600"/>
      </w:pPr>
      <w:bookmarkStart w:id="10" w:name="_Toc375070722"/>
      <w:bookmarkStart w:id="11" w:name="_Toc375557958"/>
      <w:bookmarkStart w:id="12" w:name="_Toc374957904"/>
      <w:bookmarkStart w:id="13" w:name="_Toc376285220"/>
      <w:bookmarkStart w:id="14" w:name="_Toc374381912"/>
      <w:bookmarkStart w:id="15" w:name="_Toc376597517"/>
      <w:bookmarkStart w:id="16" w:name="_Toc374381846"/>
      <w:bookmarkStart w:id="17" w:name="_Toc119341897"/>
      <w:r>
        <w:t>二</w:t>
      </w:r>
      <w:r>
        <w:rPr>
          <w:rFonts w:hint="eastAsia"/>
        </w:rPr>
        <w:t>、</w:t>
      </w:r>
      <w:r>
        <w:t>参测</w:t>
      </w:r>
      <w:bookmarkEnd w:id="10"/>
      <w:bookmarkEnd w:id="11"/>
      <w:bookmarkEnd w:id="12"/>
      <w:bookmarkEnd w:id="13"/>
      <w:bookmarkEnd w:id="14"/>
      <w:bookmarkEnd w:id="15"/>
      <w:bookmarkEnd w:id="16"/>
      <w:r>
        <w:rPr>
          <w:rFonts w:hint="eastAsia"/>
        </w:rPr>
        <w:t>机构</w:t>
      </w:r>
      <w:bookmarkEnd w:id="17"/>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北交所会员、全国股转系统主办券商</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各提供北交所、全国股转系统行情服务的信息商</w:t>
      </w:r>
    </w:p>
    <w:p>
      <w:pPr>
        <w:pStyle w:val="72"/>
        <w:spacing w:before="163" w:after="163"/>
        <w:ind w:firstLine="600"/>
      </w:pPr>
      <w:bookmarkStart w:id="18" w:name="_Toc375557959"/>
      <w:bookmarkStart w:id="19" w:name="_Toc374381847"/>
      <w:bookmarkStart w:id="20" w:name="_Toc374957905"/>
      <w:bookmarkStart w:id="21" w:name="_Toc376597518"/>
      <w:bookmarkStart w:id="22" w:name="_Toc119341898"/>
      <w:bookmarkStart w:id="23" w:name="_Toc375070723"/>
      <w:bookmarkStart w:id="24" w:name="_Toc374381913"/>
      <w:bookmarkStart w:id="25" w:name="_Toc376285221"/>
      <w:r>
        <w:t>三</w:t>
      </w:r>
      <w:r>
        <w:rPr>
          <w:rFonts w:hint="eastAsia"/>
        </w:rPr>
        <w:t>、</w:t>
      </w:r>
      <w:r>
        <w:t>参考技术规范</w:t>
      </w:r>
      <w:bookmarkEnd w:id="18"/>
      <w:bookmarkEnd w:id="19"/>
      <w:bookmarkEnd w:id="20"/>
      <w:bookmarkEnd w:id="21"/>
      <w:bookmarkEnd w:id="22"/>
      <w:bookmarkEnd w:id="23"/>
      <w:bookmarkEnd w:id="24"/>
      <w:bookmarkEnd w:id="25"/>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1.《</w:t>
      </w:r>
      <w:r>
        <w:rPr>
          <w:rStyle w:val="104"/>
        </w:rPr>
        <w:t>交易支持平台数据接口规范</w:t>
      </w:r>
      <w:r>
        <w:rPr>
          <w:rStyle w:val="105"/>
        </w:rPr>
        <w:t>(V2.1)</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Style w:val="104"/>
        </w:rPr>
        <w:t>北京证券交易所市场参与者技术系统变更指南之融资融券业务（</w:t>
      </w:r>
      <w:r>
        <w:rPr>
          <w:rStyle w:val="105"/>
        </w:rPr>
        <w:t>V1.1</w:t>
      </w:r>
      <w:r>
        <w:rPr>
          <w:rStyle w:val="104"/>
        </w:rPr>
        <w:t>）</w:t>
      </w:r>
      <w:r>
        <w:rPr>
          <w:rFonts w:hint="eastAsia" w:cs="Times New Roman"/>
          <w:color w:val="000000" w:themeColor="text1"/>
          <w:sz w:val="30"/>
          <w:szCs w:val="30"/>
          <w14:textFill>
            <w14:solidFill>
              <w14:schemeClr w14:val="tx1"/>
            </w14:solidFill>
          </w14:textFill>
        </w:rPr>
        <w:t>》</w:t>
      </w:r>
    </w:p>
    <w:p>
      <w:pPr>
        <w:pStyle w:val="72"/>
        <w:spacing w:before="163" w:after="163"/>
        <w:ind w:firstLine="600"/>
      </w:pPr>
      <w:bookmarkStart w:id="26" w:name="_Toc374381850"/>
      <w:bookmarkStart w:id="27" w:name="_Toc375070726"/>
      <w:bookmarkStart w:id="28" w:name="_Toc376597521"/>
      <w:bookmarkStart w:id="29" w:name="_Toc374957908"/>
      <w:bookmarkStart w:id="30" w:name="_Toc375557962"/>
      <w:bookmarkStart w:id="31" w:name="_Toc119341899"/>
      <w:bookmarkStart w:id="32" w:name="_Toc376285224"/>
      <w:bookmarkStart w:id="33" w:name="_Toc374381916"/>
      <w:r>
        <w:t>四</w:t>
      </w:r>
      <w:r>
        <w:rPr>
          <w:rFonts w:hint="eastAsia"/>
        </w:rPr>
        <w:t>、</w:t>
      </w:r>
      <w:r>
        <w:t>参测技术系统</w:t>
      </w:r>
      <w:bookmarkEnd w:id="26"/>
      <w:bookmarkEnd w:id="27"/>
      <w:bookmarkEnd w:id="28"/>
      <w:bookmarkEnd w:id="29"/>
      <w:bookmarkEnd w:id="30"/>
      <w:bookmarkEnd w:id="31"/>
      <w:bookmarkEnd w:id="32"/>
      <w:bookmarkEnd w:id="33"/>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北交所和全国股转公司交易支持平台通关测试环境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中国结算北京市场证券登记结算系统通关测试环境、统一账户平台（UAP）通关测试环境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深证通通信系统和深证通金融数据交换平台（FDEP）通关测试环境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拟开展北交所融资融券业务会员相关测试环境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5.北交所会员、全国股转系统主办券商相关测试环境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提供北交所行情服务的信息商相关测试环境</w:t>
      </w:r>
    </w:p>
    <w:p>
      <w:pPr>
        <w:pStyle w:val="72"/>
        <w:spacing w:before="163" w:after="163"/>
        <w:ind w:firstLine="600"/>
      </w:pPr>
      <w:bookmarkStart w:id="34" w:name="_Toc119341900"/>
      <w:r>
        <w:t>五</w:t>
      </w:r>
      <w:r>
        <w:rPr>
          <w:rFonts w:hint="eastAsia"/>
        </w:rPr>
        <w:t>、</w:t>
      </w:r>
      <w:r>
        <w:t>测试时间安排</w:t>
      </w:r>
      <w:bookmarkEnd w:id="34"/>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通关测试时间为20</w:t>
      </w:r>
      <w:r>
        <w:rPr>
          <w:rFonts w:hint="eastAsia" w:cs="Times New Roman"/>
          <w:color w:val="000000" w:themeColor="text1"/>
          <w:sz w:val="30"/>
          <w:szCs w:val="30"/>
          <w14:textFill>
            <w14:solidFill>
              <w14:schemeClr w14:val="tx1"/>
            </w14:solidFill>
          </w14:textFill>
        </w:rPr>
        <w:t>22</w:t>
      </w:r>
      <w:r>
        <w:rPr>
          <w:rFonts w:cs="Times New Roman"/>
          <w:color w:val="000000" w:themeColor="text1"/>
          <w:sz w:val="30"/>
          <w:szCs w:val="30"/>
          <w14:textFill>
            <w14:solidFill>
              <w14:schemeClr w14:val="tx1"/>
            </w14:solidFill>
          </w14:textFill>
        </w:rPr>
        <w:t>年12</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17</w:t>
      </w:r>
      <w:r>
        <w:rPr>
          <w:rFonts w:hint="eastAsia" w:cs="Times New Roman"/>
          <w:color w:val="000000" w:themeColor="text1"/>
          <w:sz w:val="30"/>
          <w:szCs w:val="30"/>
          <w14:textFill>
            <w14:solidFill>
              <w14:schemeClr w14:val="tx1"/>
            </w14:solidFill>
          </w14:textFill>
        </w:rPr>
        <w:t>日，模拟两个交易日和两个结算日：8:</w:t>
      </w:r>
      <w:r>
        <w:rPr>
          <w:rFonts w:cs="Times New Roman"/>
          <w:color w:val="000000" w:themeColor="text1"/>
          <w:sz w:val="30"/>
          <w:szCs w:val="30"/>
          <w14:textFill>
            <w14:solidFill>
              <w14:schemeClr w14:val="tx1"/>
            </w14:solidFill>
          </w14:textFill>
        </w:rPr>
        <w:t>30</w:t>
      </w:r>
      <w:r>
        <w:rPr>
          <w:rFonts w:hint="eastAsia" w:cs="Times New Roman"/>
          <w:color w:val="000000" w:themeColor="text1"/>
          <w:sz w:val="30"/>
          <w:szCs w:val="30"/>
          <w14:textFill>
            <w14:solidFill>
              <w14:schemeClr w14:val="tx1"/>
            </w14:solidFill>
          </w14:textFill>
        </w:rPr>
        <w:t>至1</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:00模拟T日的交易，1</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至1</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0模拟T日的日终过程；1</w:t>
      </w:r>
      <w:r>
        <w:rPr>
          <w:rFonts w:cs="Times New Roman"/>
          <w:color w:val="000000" w:themeColor="text1"/>
          <w:sz w:val="30"/>
          <w:szCs w:val="30"/>
          <w14:textFill>
            <w14:solidFill>
              <w14:schemeClr w14:val="tx1"/>
            </w14:solidFill>
          </w14:textFill>
        </w:rPr>
        <w:t>4:30</w:t>
      </w:r>
      <w:r>
        <w:rPr>
          <w:rFonts w:hint="eastAsia" w:cs="Times New Roman"/>
          <w:color w:val="000000" w:themeColor="text1"/>
          <w:sz w:val="30"/>
          <w:szCs w:val="30"/>
          <w14:textFill>
            <w14:solidFill>
              <w14:schemeClr w14:val="tx1"/>
            </w14:solidFill>
          </w14:textFill>
        </w:rPr>
        <w:t>至</w:t>
      </w:r>
      <w:r>
        <w:rPr>
          <w:rFonts w:cs="Times New Roman"/>
          <w:color w:val="000000" w:themeColor="text1"/>
          <w:sz w:val="30"/>
          <w:szCs w:val="30"/>
          <w14:textFill>
            <w14:solidFill>
              <w14:schemeClr w14:val="tx1"/>
            </w14:solidFill>
          </w14:textFill>
        </w:rPr>
        <w:t>17:00</w:t>
      </w:r>
      <w:r>
        <w:rPr>
          <w:rFonts w:hint="eastAsia" w:cs="Times New Roman"/>
          <w:color w:val="000000" w:themeColor="text1"/>
          <w:sz w:val="30"/>
          <w:szCs w:val="30"/>
          <w14:textFill>
            <w14:solidFill>
              <w14:schemeClr w14:val="tx1"/>
            </w14:solidFill>
          </w14:textFill>
        </w:rPr>
        <w:t>模拟T</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日的交易，</w:t>
      </w:r>
      <w:r>
        <w:rPr>
          <w:rFonts w:cs="Times New Roman"/>
          <w:color w:val="000000" w:themeColor="text1"/>
          <w:sz w:val="30"/>
          <w:szCs w:val="30"/>
          <w14:textFill>
            <w14:solidFill>
              <w14:schemeClr w14:val="tx1"/>
            </w14:solidFill>
          </w14:textFill>
        </w:rPr>
        <w:t>17:00</w:t>
      </w:r>
      <w:r>
        <w:rPr>
          <w:rFonts w:hint="eastAsia" w:cs="Times New Roman"/>
          <w:color w:val="000000" w:themeColor="text1"/>
          <w:sz w:val="30"/>
          <w:szCs w:val="30"/>
          <w14:textFill>
            <w14:solidFill>
              <w14:schemeClr w14:val="tx1"/>
            </w14:solidFill>
          </w14:textFill>
        </w:rPr>
        <w:t>至</w:t>
      </w:r>
      <w:r>
        <w:rPr>
          <w:rFonts w:cs="Times New Roman"/>
          <w:color w:val="000000" w:themeColor="text1"/>
          <w:sz w:val="30"/>
          <w:szCs w:val="30"/>
          <w14:textFill>
            <w14:solidFill>
              <w14:schemeClr w14:val="tx1"/>
            </w14:solidFill>
          </w14:textFill>
        </w:rPr>
        <w:t>19</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0模拟T</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日的日终过程</w:t>
      </w:r>
      <w:r>
        <w:rPr>
          <w:rFonts w:cs="Times New Roman"/>
          <w:color w:val="000000" w:themeColor="text1"/>
          <w:sz w:val="30"/>
          <w:szCs w:val="30"/>
          <w14:textFill>
            <w14:solidFill>
              <w14:schemeClr w14:val="tx1"/>
            </w14:solidFill>
          </w14:textFill>
        </w:rPr>
        <w:t>。</w:t>
      </w:r>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具体时间见下表：</w:t>
      </w:r>
    </w:p>
    <w:tbl>
      <w:tblPr>
        <w:tblStyle w:val="3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3867"/>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598" w:type="dxa"/>
            <w:tcBorders>
              <w:bottom w:val="single" w:color="auto" w:sz="4" w:space="0"/>
            </w:tcBorders>
            <w:shd w:val="clear" w:color="auto" w:fill="D8D8D8" w:themeFill="background1" w:themeFillShade="D9"/>
            <w:vAlign w:val="center"/>
          </w:tcPr>
          <w:p>
            <w:pPr>
              <w:spacing w:line="300" w:lineRule="exact"/>
              <w:ind w:firstLine="0" w:firstLineChars="0"/>
              <w:jc w:val="center"/>
              <w:rPr>
                <w:rFonts w:ascii="楷体" w:hAnsi="楷体" w:eastAsia="楷体" w:cs="Times New Roman"/>
                <w:b/>
                <w:bCs/>
                <w:szCs w:val="24"/>
              </w:rPr>
            </w:pPr>
            <w:r>
              <w:rPr>
                <w:rFonts w:ascii="楷体" w:hAnsi="楷体" w:eastAsia="楷体" w:cs="Times New Roman"/>
                <w:b/>
                <w:bCs/>
                <w:szCs w:val="24"/>
              </w:rPr>
              <w:t>时间</w:t>
            </w:r>
          </w:p>
        </w:tc>
        <w:tc>
          <w:tcPr>
            <w:tcW w:w="3867" w:type="dxa"/>
            <w:tcBorders>
              <w:bottom w:val="single" w:color="auto" w:sz="4" w:space="0"/>
            </w:tcBorders>
            <w:shd w:val="clear" w:color="auto" w:fill="D8D8D8" w:themeFill="background1" w:themeFillShade="D9"/>
            <w:vAlign w:val="center"/>
          </w:tcPr>
          <w:p>
            <w:pPr>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全国</w:t>
            </w:r>
            <w:r>
              <w:rPr>
                <w:rFonts w:ascii="楷体" w:hAnsi="楷体" w:eastAsia="楷体" w:cs="Times New Roman"/>
                <w:b/>
                <w:bCs/>
                <w:szCs w:val="24"/>
              </w:rPr>
              <w:t>股转</w:t>
            </w:r>
            <w:r>
              <w:rPr>
                <w:rFonts w:hint="eastAsia" w:ascii="楷体" w:hAnsi="楷体" w:eastAsia="楷体" w:cs="Times New Roman"/>
                <w:b/>
                <w:bCs/>
                <w:szCs w:val="24"/>
              </w:rPr>
              <w:t>公司</w:t>
            </w:r>
            <w:r>
              <w:rPr>
                <w:rFonts w:ascii="楷体" w:hAnsi="楷体" w:eastAsia="楷体" w:cs="Times New Roman"/>
                <w:b/>
                <w:bCs/>
                <w:szCs w:val="24"/>
              </w:rPr>
              <w:t>、北交所测试内容</w:t>
            </w:r>
          </w:p>
        </w:tc>
        <w:tc>
          <w:tcPr>
            <w:tcW w:w="3798" w:type="dxa"/>
            <w:tcBorders>
              <w:bottom w:val="single" w:color="auto" w:sz="4" w:space="0"/>
            </w:tcBorders>
            <w:shd w:val="clear" w:color="auto" w:fill="D8D8D8" w:themeFill="background1" w:themeFillShade="D9"/>
            <w:vAlign w:val="center"/>
          </w:tcPr>
          <w:p>
            <w:pPr>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参测</w:t>
            </w:r>
            <w:r>
              <w:rPr>
                <w:rFonts w:ascii="楷体" w:hAnsi="楷体" w:eastAsia="楷体" w:cs="Times New Roman"/>
                <w:b/>
                <w:bCs/>
                <w:szCs w:val="24"/>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263" w:type="dxa"/>
            <w:gridSpan w:val="3"/>
            <w:shd w:val="clear" w:color="auto" w:fill="auto"/>
            <w:vAlign w:val="center"/>
          </w:tcPr>
          <w:p>
            <w:pPr>
              <w:spacing w:line="300" w:lineRule="exact"/>
              <w:ind w:firstLine="0" w:firstLineChars="0"/>
              <w:jc w:val="center"/>
              <w:rPr>
                <w:rFonts w:ascii="仿宋" w:hAnsi="仿宋" w:cs="Times New Roman"/>
                <w:b/>
                <w:szCs w:val="24"/>
              </w:rPr>
            </w:pPr>
            <w:r>
              <w:rPr>
                <w:rFonts w:cs="Times New Roman"/>
                <w:b/>
                <w:szCs w:val="24"/>
              </w:rPr>
              <w:t>T</w:t>
            </w:r>
            <w:r>
              <w:rPr>
                <w:rFonts w:ascii="仿宋" w:hAnsi="仿宋" w:cs="Times New Roman"/>
                <w:b/>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8:30</w:t>
            </w:r>
          </w:p>
        </w:tc>
        <w:tc>
          <w:tcPr>
            <w:tcW w:w="3867" w:type="dxa"/>
            <w:shd w:val="clear" w:color="auto" w:fill="auto"/>
            <w:vAlign w:val="center"/>
          </w:tcPr>
          <w:p>
            <w:pPr>
              <w:spacing w:line="300" w:lineRule="exact"/>
              <w:ind w:firstLine="0" w:firstLineChars="0"/>
              <w:jc w:val="both"/>
              <w:rPr>
                <w:rFonts w:ascii="仿宋" w:hAnsi="仿宋" w:cs="Times New Roman"/>
                <w:szCs w:val="24"/>
              </w:rPr>
            </w:pPr>
            <w:r>
              <w:rPr>
                <w:rFonts w:ascii="仿宋" w:hAnsi="仿宋" w:cs="Times New Roman"/>
                <w:szCs w:val="24"/>
              </w:rPr>
              <w:t>发送初始</w:t>
            </w:r>
            <w:r>
              <w:rPr>
                <w:rFonts w:hint="eastAsia" w:ascii="仿宋" w:hAnsi="仿宋" w:cs="Times New Roman"/>
                <w:szCs w:val="24"/>
              </w:rPr>
              <w:t>证券</w:t>
            </w:r>
            <w:r>
              <w:rPr>
                <w:rFonts w:ascii="仿宋" w:hAnsi="仿宋" w:cs="Times New Roman"/>
                <w:szCs w:val="24"/>
              </w:rPr>
              <w:t>行情库，当日证券信息库等。</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ascii="仿宋" w:hAnsi="仿宋" w:cs="Times New Roman"/>
                <w:szCs w:val="24"/>
              </w:rPr>
              <w:t>接收初始</w:t>
            </w:r>
            <w:r>
              <w:rPr>
                <w:rFonts w:hint="eastAsia" w:ascii="仿宋" w:hAnsi="仿宋" w:cs="Times New Roman"/>
                <w:szCs w:val="24"/>
              </w:rPr>
              <w:t>证券</w:t>
            </w:r>
            <w:r>
              <w:rPr>
                <w:rFonts w:ascii="仿宋" w:hAnsi="仿宋" w:cs="Times New Roman"/>
                <w:szCs w:val="24"/>
              </w:rPr>
              <w:t>行情库、证券信息库等。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9:15-9:30</w:t>
            </w:r>
          </w:p>
        </w:tc>
        <w:tc>
          <w:tcPr>
            <w:tcW w:w="3867" w:type="dxa"/>
            <w:shd w:val="clear" w:color="auto" w:fill="auto"/>
            <w:vAlign w:val="center"/>
          </w:tcPr>
          <w:p>
            <w:pPr>
              <w:spacing w:line="300" w:lineRule="exact"/>
              <w:ind w:firstLine="0" w:firstLineChars="0"/>
              <w:jc w:val="both"/>
              <w:rPr>
                <w:rFonts w:ascii="仿宋" w:hAnsi="仿宋" w:cs="Times New Roman"/>
                <w:szCs w:val="24"/>
              </w:rPr>
            </w:pPr>
            <w:r>
              <w:t>开市、大宗交易收单</w:t>
            </w:r>
            <w:r>
              <w:rPr>
                <w:rFonts w:hint="eastAsia"/>
              </w:rPr>
              <w:t>、</w:t>
            </w:r>
            <w:r>
              <w:t>开盘集合竞价等</w:t>
            </w:r>
            <w:r>
              <w:rPr>
                <w:rFonts w:hint="eastAsia"/>
              </w:rPr>
              <w:t>。</w:t>
            </w:r>
            <w:r>
              <w:rPr>
                <w:rFonts w:hint="eastAsia" w:ascii="仿宋" w:hAnsi="仿宋" w:cs="Times New Roman"/>
                <w:szCs w:val="24"/>
              </w:rPr>
              <w:t>验证北交所、全国股转系统现有各项交易业务运行正常。</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szCs w:val="24"/>
              </w:rPr>
              <w:t>维护基础账户和信用账户等的北京市场账户标识。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9:30-1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:20</w:t>
            </w:r>
          </w:p>
        </w:tc>
        <w:tc>
          <w:tcPr>
            <w:tcW w:w="3867" w:type="dxa"/>
            <w:shd w:val="clear" w:color="auto" w:fill="auto"/>
            <w:vAlign w:val="center"/>
          </w:tcPr>
          <w:p>
            <w:pPr>
              <w:spacing w:line="300" w:lineRule="exact"/>
              <w:ind w:firstLine="0" w:firstLineChars="0"/>
              <w:jc w:val="both"/>
              <w:rPr>
                <w:rFonts w:ascii="仿宋" w:hAnsi="仿宋" w:cs="Times New Roman"/>
                <w:szCs w:val="24"/>
              </w:rPr>
            </w:pPr>
            <w:r>
              <w:t>连续竞价等</w:t>
            </w:r>
            <w:r>
              <w:rPr>
                <w:rFonts w:hint="eastAsia"/>
              </w:rPr>
              <w:t>。</w:t>
            </w:r>
            <w:r>
              <w:rPr>
                <w:rFonts w:hint="eastAsia" w:ascii="仿宋" w:hAnsi="仿宋" w:cs="Times New Roman"/>
                <w:szCs w:val="24"/>
              </w:rPr>
              <w:t>验证北交所、全国股转系统现有各项交易业务运行正常。</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szCs w:val="24"/>
              </w:rPr>
              <w:t>维护基础账户和信用账户等的北京市场账户标识。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:20-1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:25</w:t>
            </w:r>
          </w:p>
        </w:tc>
        <w:tc>
          <w:tcPr>
            <w:tcW w:w="7665" w:type="dxa"/>
            <w:gridSpan w:val="2"/>
            <w:shd w:val="clear" w:color="auto" w:fill="auto"/>
            <w:vAlign w:val="center"/>
          </w:tcPr>
          <w:p>
            <w:pPr>
              <w:spacing w:line="300" w:lineRule="exact"/>
              <w:ind w:firstLine="0" w:firstLineChars="0"/>
              <w:jc w:val="center"/>
              <w:rPr>
                <w:rFonts w:ascii="仿宋" w:hAnsi="仿宋" w:cs="Times New Roman"/>
                <w:szCs w:val="24"/>
              </w:rPr>
            </w:pPr>
            <w:r>
              <w:rPr>
                <w:rFonts w:ascii="仿宋" w:hAnsi="仿宋" w:cs="Times New Roman"/>
                <w:szCs w:val="24"/>
              </w:rPr>
              <w:t>中午休市，不接收申报。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:25-10:50</w:t>
            </w:r>
          </w:p>
        </w:tc>
        <w:tc>
          <w:tcPr>
            <w:tcW w:w="3867" w:type="dxa"/>
            <w:shd w:val="clear" w:color="auto" w:fill="auto"/>
            <w:vAlign w:val="center"/>
          </w:tcPr>
          <w:p>
            <w:pPr>
              <w:spacing w:line="300" w:lineRule="exact"/>
              <w:ind w:firstLine="0" w:firstLineChars="0"/>
              <w:jc w:val="both"/>
              <w:rPr>
                <w:rFonts w:ascii="仿宋" w:hAnsi="仿宋" w:cs="Times New Roman"/>
                <w:szCs w:val="24"/>
              </w:rPr>
            </w:pPr>
            <w:r>
              <w:t>连续竞价</w:t>
            </w:r>
            <w:r>
              <w:rPr>
                <w:rFonts w:hint="eastAsia"/>
              </w:rPr>
              <w:t>、</w:t>
            </w:r>
            <w:r>
              <w:t>收盘集合竞价等</w:t>
            </w:r>
            <w:r>
              <w:rPr>
                <w:rFonts w:hint="eastAsia"/>
              </w:rPr>
              <w:t>。</w:t>
            </w:r>
            <w:r>
              <w:rPr>
                <w:rFonts w:hint="eastAsia" w:ascii="仿宋" w:hAnsi="仿宋" w:cs="Times New Roman"/>
                <w:szCs w:val="24"/>
              </w:rPr>
              <w:t>验证北交所、全国股转系统现有各项交易业务运行正常。</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szCs w:val="24"/>
              </w:rPr>
              <w:t>维护基础账户和信用账户等的北京市场账户标识。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10:50-11: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3867" w:type="dxa"/>
            <w:shd w:val="clear" w:color="auto" w:fill="auto"/>
            <w:vAlign w:val="center"/>
          </w:tcPr>
          <w:p>
            <w:pPr>
              <w:spacing w:line="300" w:lineRule="exact"/>
              <w:ind w:firstLine="0" w:firstLineChars="0"/>
              <w:jc w:val="both"/>
              <w:rPr>
                <w:rFonts w:ascii="仿宋" w:hAnsi="仿宋" w:cs="Times New Roman"/>
                <w:szCs w:val="24"/>
              </w:rPr>
            </w:pPr>
            <w:r>
              <w:t>大宗交易等</w:t>
            </w:r>
            <w:r>
              <w:rPr>
                <w:rFonts w:hint="eastAsia"/>
              </w:rPr>
              <w:t>。</w:t>
            </w:r>
            <w:r>
              <w:rPr>
                <w:rFonts w:hint="eastAsia" w:ascii="仿宋" w:hAnsi="仿宋" w:cs="Times New Roman"/>
                <w:szCs w:val="24"/>
              </w:rPr>
              <w:t>验证北交所、全国股转系统现有各项交易业务运行正常。</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szCs w:val="24"/>
              </w:rPr>
              <w:t>维护基础账户和信用账户等的北京市场账户标识。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11:</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7665" w:type="dxa"/>
            <w:gridSpan w:val="2"/>
            <w:shd w:val="clear" w:color="auto" w:fill="auto"/>
            <w:vAlign w:val="center"/>
          </w:tcPr>
          <w:p>
            <w:pPr>
              <w:spacing w:line="300" w:lineRule="exact"/>
              <w:ind w:firstLine="0" w:firstLineChars="0"/>
              <w:jc w:val="center"/>
              <w:rPr>
                <w:rFonts w:ascii="仿宋" w:hAnsi="仿宋" w:cs="Times New Roman"/>
                <w:szCs w:val="24"/>
              </w:rPr>
            </w:pPr>
            <w:r>
              <w:rPr>
                <w:rFonts w:cs="Times New Roman"/>
              </w:rPr>
              <w:t>T</w:t>
            </w:r>
            <w:r>
              <w:rPr>
                <w:rFonts w:hint="eastAsia"/>
              </w:rPr>
              <w:t>日闭市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11:0</w:t>
            </w:r>
            <w:r>
              <w:rPr>
                <w:rFonts w:hint="eastAsia" w:cs="Times New Roman"/>
                <w:color w:val="000000" w:themeColor="text1"/>
                <w:szCs w:val="24"/>
                <w14:textFill>
                  <w14:solidFill>
                    <w14:schemeClr w14:val="tx1"/>
                  </w14:solidFill>
                </w14:textFill>
              </w:rPr>
              <w:t>0-1</w:t>
            </w:r>
            <w:r>
              <w:rPr>
                <w:rFonts w:cs="Times New Roman"/>
                <w:color w:val="000000" w:themeColor="text1"/>
                <w:szCs w:val="24"/>
                <w14:textFill>
                  <w14:solidFill>
                    <w14:schemeClr w14:val="tx1"/>
                  </w14:solidFill>
                </w14:textFill>
              </w:rPr>
              <w:t>2</w:t>
            </w:r>
            <w:r>
              <w:rPr>
                <w:rFonts w:hint="eastAsia" w:cs="Times New Roman"/>
                <w:color w:val="000000" w:themeColor="text1"/>
                <w:szCs w:val="24"/>
                <w14:textFill>
                  <w14:solidFill>
                    <w14:schemeClr w14:val="tx1"/>
                  </w14:solidFill>
                </w14:textFill>
              </w:rPr>
              <w:t>:00</w:t>
            </w:r>
          </w:p>
        </w:tc>
        <w:tc>
          <w:tcPr>
            <w:tcW w:w="3867" w:type="dxa"/>
            <w:shd w:val="clear" w:color="auto" w:fill="auto"/>
            <w:vAlign w:val="center"/>
          </w:tcPr>
          <w:p>
            <w:pPr>
              <w:pStyle w:val="13"/>
              <w:spacing w:line="0" w:lineRule="atLeast"/>
              <w:ind w:firstLine="0" w:firstLineChars="0"/>
            </w:pPr>
            <w:r>
              <w:t>接收中国结算发送的T日清算交收数据</w:t>
            </w:r>
            <w:r>
              <w:rPr>
                <w:rFonts w:hint="eastAsia"/>
              </w:rPr>
              <w:t>，完成融资融券专用交易单元初始化等。</w:t>
            </w:r>
          </w:p>
        </w:tc>
        <w:tc>
          <w:tcPr>
            <w:tcW w:w="3798" w:type="dxa"/>
            <w:shd w:val="clear" w:color="auto" w:fill="auto"/>
            <w:vAlign w:val="center"/>
          </w:tcPr>
          <w:p>
            <w:pPr>
              <w:spacing w:line="300" w:lineRule="exact"/>
              <w:ind w:firstLine="0" w:firstLineChars="0"/>
              <w:rPr>
                <w:rFonts w:ascii="仿宋" w:hAnsi="仿宋" w:cs="Times New Roman"/>
                <w:szCs w:val="24"/>
              </w:rPr>
            </w:pPr>
            <w:r>
              <w:t>接收中国结算发送的T日清算交收数据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w:t>
            </w:r>
            <w:r>
              <w:rPr>
                <w:rFonts w:cs="Times New Roman"/>
                <w:color w:val="000000" w:themeColor="text1"/>
                <w:szCs w:val="24"/>
                <w14:textFill>
                  <w14:solidFill>
                    <w14:schemeClr w14:val="tx1"/>
                  </w14:solidFill>
                </w14:textFill>
              </w:rPr>
              <w:t>2</w:t>
            </w:r>
            <w:r>
              <w:rPr>
                <w:rFonts w:hint="eastAsia" w:cs="Times New Roman"/>
                <w:color w:val="000000" w:themeColor="text1"/>
                <w:szCs w:val="24"/>
                <w14:textFill>
                  <w14:solidFill>
                    <w14:schemeClr w14:val="tx1"/>
                  </w14:solidFill>
                </w14:textFill>
              </w:rPr>
              <w:t>:00-1</w:t>
            </w:r>
            <w:r>
              <w:rPr>
                <w:rFonts w:cs="Times New Roman"/>
                <w:color w:val="000000" w:themeColor="text1"/>
                <w:szCs w:val="24"/>
                <w14:textFill>
                  <w14:solidFill>
                    <w14:schemeClr w14:val="tx1"/>
                  </w14:solidFill>
                </w14:textFill>
              </w:rPr>
              <w:t>4</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0</w:t>
            </w:r>
          </w:p>
        </w:tc>
        <w:tc>
          <w:tcPr>
            <w:tcW w:w="3867"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color w:val="000000" w:themeColor="text1"/>
                <w:szCs w:val="24"/>
                <w14:textFill>
                  <w14:solidFill>
                    <w14:schemeClr w14:val="tx1"/>
                  </w14:solidFill>
                </w14:textFill>
              </w:rPr>
              <w:t>完成</w:t>
            </w:r>
            <w:r>
              <w:rPr>
                <w:rFonts w:hint="eastAsia"/>
              </w:rPr>
              <w:t>T</w:t>
            </w:r>
            <w:r>
              <w:t>日日终处理</w:t>
            </w:r>
            <w:r>
              <w:rPr>
                <w:rFonts w:hint="eastAsia"/>
              </w:rPr>
              <w:t>。</w:t>
            </w:r>
          </w:p>
        </w:tc>
        <w:tc>
          <w:tcPr>
            <w:tcW w:w="3798" w:type="dxa"/>
            <w:shd w:val="clear" w:color="auto" w:fill="auto"/>
            <w:vAlign w:val="center"/>
          </w:tcPr>
          <w:p>
            <w:pPr>
              <w:spacing w:line="300" w:lineRule="exact"/>
              <w:ind w:firstLine="0" w:firstLineChars="0"/>
              <w:rPr>
                <w:rFonts w:ascii="仿宋" w:hAnsi="仿宋" w:cs="Times New Roman"/>
                <w:szCs w:val="24"/>
              </w:rPr>
            </w:pPr>
            <w:r>
              <w:rPr>
                <w:rFonts w:ascii="仿宋" w:hAnsi="仿宋" w:cs="Times New Roman"/>
                <w:szCs w:val="24"/>
              </w:rPr>
              <w:t>完</w:t>
            </w:r>
            <w:r>
              <w:t>成</w:t>
            </w:r>
            <w:r>
              <w:rPr>
                <w:rFonts w:hint="eastAsia"/>
              </w:rPr>
              <w:t>T</w:t>
            </w:r>
            <w:r>
              <w:t>日</w:t>
            </w:r>
            <w:r>
              <w:rPr>
                <w:rFonts w:hint="eastAsia" w:ascii="仿宋" w:hAnsi="仿宋" w:cs="Times New Roman"/>
                <w:szCs w:val="24"/>
              </w:rPr>
              <w:t>日终</w:t>
            </w:r>
            <w:r>
              <w:rPr>
                <w:rFonts w:ascii="仿宋" w:hAnsi="仿宋" w:cs="Times New Roman"/>
                <w:szCs w:val="24"/>
              </w:rPr>
              <w:t>处理</w:t>
            </w:r>
            <w:r>
              <w:rPr>
                <w:rFonts w:hint="eastAsia" w:ascii="仿宋" w:hAnsi="仿宋" w:cs="Times New Roman"/>
                <w:szCs w:val="24"/>
              </w:rPr>
              <w:t>，</w:t>
            </w:r>
            <w:r>
              <w:rPr>
                <w:rFonts w:hint="eastAsia"/>
              </w:rPr>
              <w:t>初始化账户和持仓数据等</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263" w:type="dxa"/>
            <w:gridSpan w:val="3"/>
            <w:shd w:val="clear" w:color="auto" w:fill="auto"/>
            <w:vAlign w:val="center"/>
          </w:tcPr>
          <w:p>
            <w:pPr>
              <w:spacing w:line="300" w:lineRule="exact"/>
              <w:ind w:firstLine="0" w:firstLineChars="0"/>
              <w:jc w:val="center"/>
              <w:rPr>
                <w:rFonts w:cs="Times New Roman"/>
                <w:b/>
                <w:szCs w:val="24"/>
              </w:rPr>
            </w:pPr>
            <w:r>
              <w:rPr>
                <w:rFonts w:cs="Times New Roman"/>
                <w:b/>
                <w:szCs w:val="24"/>
              </w:rPr>
              <w:t>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14:30</w:t>
            </w:r>
          </w:p>
        </w:tc>
        <w:tc>
          <w:tcPr>
            <w:tcW w:w="3867" w:type="dxa"/>
            <w:shd w:val="clear" w:color="auto" w:fill="auto"/>
            <w:vAlign w:val="center"/>
          </w:tcPr>
          <w:p>
            <w:pPr>
              <w:spacing w:line="300" w:lineRule="exact"/>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szCs w:val="24"/>
              </w:rPr>
              <w:t>发送初始</w:t>
            </w:r>
            <w:r>
              <w:rPr>
                <w:rFonts w:hint="eastAsia" w:ascii="仿宋" w:hAnsi="仿宋" w:cs="Times New Roman"/>
                <w:szCs w:val="24"/>
              </w:rPr>
              <w:t>证券</w:t>
            </w:r>
            <w:r>
              <w:rPr>
                <w:rFonts w:ascii="仿宋" w:hAnsi="仿宋" w:cs="Times New Roman"/>
                <w:szCs w:val="24"/>
              </w:rPr>
              <w:t>行情库</w:t>
            </w:r>
            <w:r>
              <w:rPr>
                <w:rFonts w:hint="eastAsia" w:ascii="仿宋" w:hAnsi="仿宋" w:cs="Times New Roman"/>
                <w:szCs w:val="24"/>
              </w:rPr>
              <w:t>、</w:t>
            </w:r>
            <w:r>
              <w:rPr>
                <w:rFonts w:ascii="仿宋" w:hAnsi="仿宋" w:cs="Times New Roman"/>
                <w:szCs w:val="24"/>
              </w:rPr>
              <w:t>证券信息库</w:t>
            </w:r>
            <w:r>
              <w:rPr>
                <w:rFonts w:hint="eastAsia" w:ascii="仿宋" w:hAnsi="仿宋" w:cs="Times New Roman"/>
                <w:szCs w:val="24"/>
              </w:rPr>
              <w:t>、融资融券</w:t>
            </w:r>
            <w:r>
              <w:rPr>
                <w:rFonts w:ascii="仿宋" w:hAnsi="仿宋" w:cs="Times New Roman"/>
                <w:szCs w:val="24"/>
              </w:rPr>
              <w:t>标的证券和担保证券信息等。</w:t>
            </w:r>
          </w:p>
        </w:tc>
        <w:tc>
          <w:tcPr>
            <w:tcW w:w="3798" w:type="dxa"/>
            <w:shd w:val="clear" w:color="auto" w:fill="auto"/>
            <w:vAlign w:val="center"/>
          </w:tcPr>
          <w:p>
            <w:pPr>
              <w:spacing w:line="300" w:lineRule="exact"/>
              <w:ind w:firstLine="0" w:firstLineChars="0"/>
              <w:rPr>
                <w:rFonts w:ascii="仿宋" w:hAnsi="仿宋" w:cs="Times New Roman"/>
                <w:szCs w:val="24"/>
              </w:rPr>
            </w:pPr>
            <w:r>
              <w:rPr>
                <w:rFonts w:ascii="仿宋" w:hAnsi="仿宋" w:cs="Times New Roman"/>
                <w:szCs w:val="24"/>
              </w:rPr>
              <w:t>接收初始</w:t>
            </w:r>
            <w:r>
              <w:rPr>
                <w:rFonts w:hint="eastAsia" w:ascii="仿宋" w:hAnsi="仿宋" w:cs="Times New Roman"/>
                <w:szCs w:val="24"/>
              </w:rPr>
              <w:t>证券</w:t>
            </w:r>
            <w:r>
              <w:rPr>
                <w:rFonts w:ascii="仿宋" w:hAnsi="仿宋" w:cs="Times New Roman"/>
                <w:szCs w:val="24"/>
              </w:rPr>
              <w:t>行情库、证券信息库</w:t>
            </w:r>
            <w:r>
              <w:rPr>
                <w:rFonts w:hint="eastAsia" w:ascii="仿宋" w:hAnsi="仿宋" w:cs="Times New Roman"/>
                <w:szCs w:val="24"/>
              </w:rPr>
              <w:t>、融资融券</w:t>
            </w:r>
            <w:r>
              <w:rPr>
                <w:rFonts w:ascii="仿宋" w:hAnsi="仿宋" w:cs="Times New Roman"/>
                <w:szCs w:val="24"/>
              </w:rPr>
              <w:t>标的证券和担保证券信息等。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14:45-15:00</w:t>
            </w:r>
          </w:p>
        </w:tc>
        <w:tc>
          <w:tcPr>
            <w:tcW w:w="3867" w:type="dxa"/>
            <w:shd w:val="clear" w:color="auto" w:fill="auto"/>
            <w:vAlign w:val="center"/>
          </w:tcPr>
          <w:p>
            <w:pPr>
              <w:spacing w:line="300" w:lineRule="exact"/>
              <w:ind w:firstLine="0" w:firstLineChars="0"/>
              <w:jc w:val="both"/>
              <w:rPr>
                <w:rFonts w:ascii="仿宋" w:hAnsi="仿宋" w:cs="Times New Roman"/>
                <w:color w:val="000000" w:themeColor="text1"/>
                <w:szCs w:val="24"/>
                <w14:textFill>
                  <w14:solidFill>
                    <w14:schemeClr w14:val="tx1"/>
                  </w14:solidFill>
                </w14:textFill>
              </w:rPr>
            </w:pPr>
            <w:r>
              <w:t>开市、大宗交易收单</w:t>
            </w:r>
            <w:r>
              <w:rPr>
                <w:rFonts w:hint="eastAsia"/>
              </w:rPr>
              <w:t>、</w:t>
            </w:r>
            <w:r>
              <w:t>开盘集合竞价等</w:t>
            </w:r>
            <w:r>
              <w:rPr>
                <w:rFonts w:hint="eastAsia"/>
              </w:rPr>
              <w:t>。</w:t>
            </w:r>
          </w:p>
        </w:tc>
        <w:tc>
          <w:tcPr>
            <w:tcW w:w="3798" w:type="dxa"/>
            <w:shd w:val="clear" w:color="auto" w:fill="auto"/>
            <w:vAlign w:val="center"/>
          </w:tcPr>
          <w:p>
            <w:pPr>
              <w:spacing w:line="300" w:lineRule="exact"/>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信用账户完成融资融券交易申报、大宗交易申报和公开发行申报等。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15:00-16:00</w:t>
            </w:r>
          </w:p>
        </w:tc>
        <w:tc>
          <w:tcPr>
            <w:tcW w:w="3867" w:type="dxa"/>
            <w:shd w:val="clear" w:color="auto" w:fill="auto"/>
            <w:vAlign w:val="center"/>
          </w:tcPr>
          <w:p>
            <w:pPr>
              <w:spacing w:line="300" w:lineRule="exact"/>
              <w:ind w:firstLine="0" w:firstLineChars="0"/>
              <w:jc w:val="both"/>
            </w:pPr>
            <w:r>
              <w:rPr>
                <w:rFonts w:hint="eastAsia"/>
              </w:rPr>
              <w:t>连续</w:t>
            </w:r>
            <w:r>
              <w:t>竞价等</w:t>
            </w:r>
            <w:r>
              <w:rPr>
                <w:rFonts w:hint="eastAsia"/>
              </w:rPr>
              <w:t>。</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color w:val="000000" w:themeColor="text1"/>
                <w:szCs w:val="24"/>
                <w14:textFill>
                  <w14:solidFill>
                    <w14:schemeClr w14:val="tx1"/>
                  </w14:solidFill>
                </w14:textFill>
              </w:rPr>
              <w:t>信用账户完成融资融券交易申报、大宗交易申报和公开发行申报等。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16:00-16:0</w:t>
            </w:r>
            <w:r>
              <w:rPr>
                <w:rFonts w:hint="eastAsia" w:cs="Times New Roman"/>
                <w:color w:val="000000" w:themeColor="text1"/>
                <w:szCs w:val="24"/>
                <w14:textFill>
                  <w14:solidFill>
                    <w14:schemeClr w14:val="tx1"/>
                  </w14:solidFill>
                </w14:textFill>
              </w:rPr>
              <w:t>5</w:t>
            </w:r>
          </w:p>
        </w:tc>
        <w:tc>
          <w:tcPr>
            <w:tcW w:w="7665" w:type="dxa"/>
            <w:gridSpan w:val="2"/>
            <w:shd w:val="clear" w:color="auto" w:fill="auto"/>
            <w:vAlign w:val="center"/>
          </w:tcPr>
          <w:p>
            <w:pPr>
              <w:spacing w:line="300" w:lineRule="exact"/>
              <w:ind w:firstLine="0" w:firstLineChars="0"/>
              <w:jc w:val="center"/>
              <w:rPr>
                <w:rFonts w:ascii="仿宋" w:hAnsi="仿宋" w:cs="Times New Roman"/>
                <w:szCs w:val="24"/>
              </w:rPr>
            </w:pPr>
            <w:r>
              <w:rPr>
                <w:rFonts w:ascii="仿宋" w:hAnsi="仿宋" w:cs="Times New Roman"/>
                <w:szCs w:val="24"/>
              </w:rPr>
              <w:t>中午休市，不接收申报。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16:0</w:t>
            </w:r>
            <w:r>
              <w:rPr>
                <w:rFonts w:hint="eastAsia" w:cs="Times New Roman"/>
                <w:color w:val="000000" w:themeColor="text1"/>
                <w:szCs w:val="24"/>
                <w14:textFill>
                  <w14:solidFill>
                    <w14:schemeClr w14:val="tx1"/>
                  </w14:solidFill>
                </w14:textFill>
              </w:rPr>
              <w:t>5</w:t>
            </w:r>
            <w:r>
              <w:rPr>
                <w:rFonts w:cs="Times New Roman"/>
                <w:color w:val="000000" w:themeColor="text1"/>
                <w:szCs w:val="24"/>
                <w14:textFill>
                  <w14:solidFill>
                    <w14:schemeClr w14:val="tx1"/>
                  </w14:solidFill>
                </w14:textFill>
              </w:rPr>
              <w:t>-16:50</w:t>
            </w:r>
          </w:p>
        </w:tc>
        <w:tc>
          <w:tcPr>
            <w:tcW w:w="3867" w:type="dxa"/>
            <w:shd w:val="clear" w:color="auto" w:fill="auto"/>
            <w:vAlign w:val="center"/>
          </w:tcPr>
          <w:p>
            <w:pPr>
              <w:spacing w:line="300" w:lineRule="exact"/>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szCs w:val="24"/>
              </w:rPr>
              <w:t>连续</w:t>
            </w:r>
            <w:r>
              <w:rPr>
                <w:rFonts w:ascii="仿宋" w:hAnsi="仿宋" w:cs="Times New Roman"/>
                <w:szCs w:val="24"/>
              </w:rPr>
              <w:t>竞价</w:t>
            </w:r>
            <w:r>
              <w:rPr>
                <w:rFonts w:hint="eastAsia" w:ascii="仿宋" w:hAnsi="仿宋" w:cs="Times New Roman"/>
                <w:szCs w:val="24"/>
              </w:rPr>
              <w:t>、</w:t>
            </w:r>
            <w:r>
              <w:rPr>
                <w:rFonts w:ascii="仿宋" w:hAnsi="仿宋" w:cs="Times New Roman"/>
                <w:szCs w:val="24"/>
              </w:rPr>
              <w:t>收盘集合竞价等</w:t>
            </w:r>
            <w:r>
              <w:rPr>
                <w:rFonts w:hint="eastAsia" w:ascii="仿宋" w:hAnsi="仿宋" w:cs="Times New Roman"/>
                <w:szCs w:val="24"/>
              </w:rPr>
              <w:t>。</w:t>
            </w:r>
          </w:p>
        </w:tc>
        <w:tc>
          <w:tcPr>
            <w:tcW w:w="3798"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color w:val="000000" w:themeColor="text1"/>
                <w:szCs w:val="24"/>
                <w14:textFill>
                  <w14:solidFill>
                    <w14:schemeClr w14:val="tx1"/>
                  </w14:solidFill>
                </w14:textFill>
              </w:rPr>
              <w:t>信用账户完成融资融券交易申报、大宗交易申报和公开发行申报等。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16:50-17:</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3867" w:type="dxa"/>
            <w:shd w:val="clear" w:color="auto" w:fill="auto"/>
            <w:vAlign w:val="center"/>
          </w:tcPr>
          <w:p>
            <w:pPr>
              <w:spacing w:line="300" w:lineRule="exact"/>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szCs w:val="24"/>
              </w:rPr>
              <w:t>大宗</w:t>
            </w:r>
            <w:r>
              <w:rPr>
                <w:rFonts w:ascii="仿宋" w:hAnsi="仿宋" w:cs="Times New Roman"/>
                <w:szCs w:val="24"/>
              </w:rPr>
              <w:t>交易等</w:t>
            </w:r>
            <w:r>
              <w:rPr>
                <w:rFonts w:hint="eastAsia" w:ascii="仿宋" w:hAnsi="仿宋" w:cs="Times New Roman"/>
                <w:szCs w:val="24"/>
              </w:rPr>
              <w:t>。</w:t>
            </w:r>
          </w:p>
        </w:tc>
        <w:tc>
          <w:tcPr>
            <w:tcW w:w="3798" w:type="dxa"/>
            <w:shd w:val="clear" w:color="auto" w:fill="auto"/>
            <w:vAlign w:val="center"/>
          </w:tcPr>
          <w:p>
            <w:pPr>
              <w:spacing w:line="300" w:lineRule="exact"/>
              <w:ind w:firstLine="0" w:firstLineChars="0"/>
              <w:rPr>
                <w:rFonts w:ascii="仿宋" w:hAnsi="仿宋" w:cs="Times New Roman"/>
                <w:szCs w:val="24"/>
              </w:rPr>
            </w:pPr>
            <w:r>
              <w:rPr>
                <w:rFonts w:hint="eastAsia" w:ascii="仿宋" w:hAnsi="仿宋" w:cs="Times New Roman"/>
                <w:color w:val="000000" w:themeColor="text1"/>
                <w:szCs w:val="24"/>
                <w14:textFill>
                  <w14:solidFill>
                    <w14:schemeClr w14:val="tx1"/>
                  </w14:solidFill>
                </w14:textFill>
              </w:rPr>
              <w:t>信用账户完成大宗交易申报等。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17:</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p>
        </w:tc>
        <w:tc>
          <w:tcPr>
            <w:tcW w:w="7665" w:type="dxa"/>
            <w:gridSpan w:val="2"/>
            <w:shd w:val="clear" w:color="auto" w:fill="auto"/>
            <w:vAlign w:val="center"/>
          </w:tcPr>
          <w:p>
            <w:pPr>
              <w:spacing w:line="300" w:lineRule="exact"/>
              <w:ind w:firstLine="0" w:firstLineChars="0"/>
              <w:jc w:val="center"/>
              <w:rPr>
                <w:rFonts w:ascii="仿宋" w:hAnsi="仿宋" w:cs="Times New Roman"/>
                <w:szCs w:val="24"/>
              </w:rPr>
            </w:pPr>
            <w:r>
              <w:rPr>
                <w:rFonts w:cs="Times New Roman"/>
              </w:rPr>
              <w:t>T+1</w:t>
            </w:r>
            <w:r>
              <w:rPr>
                <w:rFonts w:hint="eastAsia"/>
              </w:rPr>
              <w:t>日闭市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17</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18</w:t>
            </w:r>
            <w:r>
              <w:rPr>
                <w:rFonts w:hint="eastAsia" w:cs="Times New Roman"/>
                <w:color w:val="000000" w:themeColor="text1"/>
                <w:szCs w:val="24"/>
                <w14:textFill>
                  <w14:solidFill>
                    <w14:schemeClr w14:val="tx1"/>
                  </w14:solidFill>
                </w14:textFill>
              </w:rPr>
              <w:t>:00</w:t>
            </w:r>
          </w:p>
        </w:tc>
        <w:tc>
          <w:tcPr>
            <w:tcW w:w="3867" w:type="dxa"/>
            <w:shd w:val="clear" w:color="auto" w:fill="auto"/>
            <w:vAlign w:val="center"/>
          </w:tcPr>
          <w:p>
            <w:pPr>
              <w:spacing w:line="300" w:lineRule="exact"/>
              <w:ind w:firstLine="0" w:firstLineChars="0"/>
              <w:rPr>
                <w:rFonts w:ascii="仿宋" w:hAnsi="仿宋" w:cs="Times New Roman"/>
                <w:szCs w:val="24"/>
              </w:rPr>
            </w:pPr>
            <w:r>
              <w:t>接收中国结算发送的T</w:t>
            </w:r>
            <w:r>
              <w:rPr>
                <w:rFonts w:hint="eastAsia"/>
              </w:rPr>
              <w:t>+</w:t>
            </w:r>
            <w:r>
              <w:t>1日清算交收数据</w:t>
            </w:r>
            <w:r>
              <w:rPr>
                <w:rFonts w:hint="eastAsia"/>
              </w:rPr>
              <w:t>。</w:t>
            </w:r>
          </w:p>
        </w:tc>
        <w:tc>
          <w:tcPr>
            <w:tcW w:w="3798" w:type="dxa"/>
            <w:shd w:val="clear" w:color="auto" w:fill="auto"/>
            <w:vAlign w:val="center"/>
          </w:tcPr>
          <w:p>
            <w:pPr>
              <w:spacing w:line="300" w:lineRule="exact"/>
              <w:ind w:firstLine="0" w:firstLineChars="0"/>
              <w:rPr>
                <w:rFonts w:ascii="仿宋" w:hAnsi="仿宋" w:cs="Times New Roman"/>
                <w:szCs w:val="24"/>
              </w:rPr>
            </w:pPr>
            <w:r>
              <w:t>接收中国结算发送的T</w:t>
            </w:r>
            <w:r>
              <w:rPr>
                <w:rFonts w:hint="eastAsia"/>
              </w:rPr>
              <w:t>+</w:t>
            </w:r>
            <w:r>
              <w:t>1日清算交收数据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98" w:type="dxa"/>
            <w:shd w:val="clear" w:color="auto" w:fill="auto"/>
            <w:vAlign w:val="center"/>
          </w:tcPr>
          <w:p>
            <w:pPr>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18</w:t>
            </w:r>
            <w:r>
              <w:rPr>
                <w:rFonts w:hint="eastAsia" w:cs="Times New Roman"/>
                <w:color w:val="000000" w:themeColor="text1"/>
                <w:szCs w:val="24"/>
                <w14:textFill>
                  <w14:solidFill>
                    <w14:schemeClr w14:val="tx1"/>
                  </w14:solidFill>
                </w14:textFill>
              </w:rPr>
              <w:t>:0</w:t>
            </w:r>
            <w:r>
              <w:rPr>
                <w:rFonts w:cs="Times New Roman"/>
                <w:color w:val="000000" w:themeColor="text1"/>
                <w:szCs w:val="24"/>
                <w14:textFill>
                  <w14:solidFill>
                    <w14:schemeClr w14:val="tx1"/>
                  </w14:solidFill>
                </w14:textFill>
              </w:rPr>
              <w:t>0</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19</w:t>
            </w:r>
            <w:r>
              <w:rPr>
                <w:rFonts w:hint="eastAsia" w:cs="Times New Roman"/>
                <w:color w:val="000000" w:themeColor="text1"/>
                <w:szCs w:val="24"/>
                <w14:textFill>
                  <w14:solidFill>
                    <w14:schemeClr w14:val="tx1"/>
                  </w14:solidFill>
                </w14:textFill>
              </w:rPr>
              <w:t>:00</w:t>
            </w:r>
          </w:p>
        </w:tc>
        <w:tc>
          <w:tcPr>
            <w:tcW w:w="3867" w:type="dxa"/>
            <w:shd w:val="clear" w:color="auto" w:fill="auto"/>
            <w:vAlign w:val="center"/>
          </w:tcPr>
          <w:p>
            <w:pPr>
              <w:spacing w:line="300" w:lineRule="exact"/>
              <w:ind w:firstLine="0" w:firstLineChars="0"/>
              <w:jc w:val="both"/>
              <w:rPr>
                <w:rFonts w:ascii="仿宋" w:hAnsi="仿宋" w:cs="Times New Roman"/>
                <w:szCs w:val="24"/>
              </w:rPr>
            </w:pPr>
            <w:r>
              <w:rPr>
                <w:rFonts w:hint="eastAsia" w:ascii="仿宋" w:hAnsi="仿宋" w:cs="Times New Roman"/>
                <w:color w:val="000000" w:themeColor="text1"/>
                <w:szCs w:val="24"/>
                <w14:textFill>
                  <w14:solidFill>
                    <w14:schemeClr w14:val="tx1"/>
                  </w14:solidFill>
                </w14:textFill>
              </w:rPr>
              <w:t>完成</w:t>
            </w:r>
            <w:r>
              <w:rPr>
                <w:rFonts w:hint="eastAsia"/>
              </w:rPr>
              <w:t>T+</w:t>
            </w:r>
            <w:r>
              <w:t>1日日终处理</w:t>
            </w:r>
            <w:r>
              <w:rPr>
                <w:rFonts w:hint="eastAsia"/>
              </w:rPr>
              <w:t>，</w:t>
            </w:r>
            <w:r>
              <w:t>校验处理上报的融资融券业务数据和违约数据</w:t>
            </w:r>
            <w:r>
              <w:rPr>
                <w:rFonts w:hint="eastAsia"/>
              </w:rPr>
              <w:t>。</w:t>
            </w:r>
          </w:p>
        </w:tc>
        <w:tc>
          <w:tcPr>
            <w:tcW w:w="3798" w:type="dxa"/>
            <w:shd w:val="clear" w:color="auto" w:fill="auto"/>
            <w:vAlign w:val="center"/>
          </w:tcPr>
          <w:p>
            <w:pPr>
              <w:spacing w:line="300" w:lineRule="exact"/>
              <w:ind w:firstLine="0" w:firstLineChars="0"/>
              <w:rPr>
                <w:rFonts w:ascii="仿宋" w:hAnsi="仿宋" w:cs="Times New Roman"/>
                <w:szCs w:val="24"/>
              </w:rPr>
            </w:pPr>
            <w:r>
              <w:rPr>
                <w:rFonts w:ascii="仿宋" w:hAnsi="仿宋" w:cs="Times New Roman"/>
                <w:szCs w:val="24"/>
              </w:rPr>
              <w:t>完</w:t>
            </w:r>
            <w:r>
              <w:t>成</w:t>
            </w:r>
            <w:r>
              <w:rPr>
                <w:rFonts w:hint="eastAsia"/>
              </w:rPr>
              <w:t>T+</w:t>
            </w:r>
            <w:r>
              <w:t>1日</w:t>
            </w:r>
            <w:r>
              <w:rPr>
                <w:rFonts w:hint="eastAsia" w:ascii="仿宋" w:hAnsi="仿宋" w:cs="Times New Roman"/>
                <w:szCs w:val="24"/>
              </w:rPr>
              <w:t>日终</w:t>
            </w:r>
            <w:r>
              <w:rPr>
                <w:rFonts w:ascii="仿宋" w:hAnsi="仿宋" w:cs="Times New Roman"/>
                <w:szCs w:val="24"/>
              </w:rPr>
              <w:t>处理</w:t>
            </w:r>
            <w:r>
              <w:rPr>
                <w:rFonts w:hint="eastAsia" w:ascii="仿宋" w:hAnsi="仿宋" w:cs="Times New Roman"/>
                <w:szCs w:val="24"/>
              </w:rPr>
              <w:t>，</w:t>
            </w:r>
            <w:r>
              <w:t>上报融资融券业务数据和违约数据</w:t>
            </w:r>
            <w:r>
              <w:rPr>
                <w:rFonts w:hint="eastAsia"/>
              </w:rPr>
              <w:t>，接收信用违约资料汇总数据。</w:t>
            </w:r>
          </w:p>
        </w:tc>
      </w:tr>
    </w:tbl>
    <w:p>
      <w:pPr>
        <w:spacing w:line="240" w:lineRule="auto"/>
        <w:ind w:firstLine="600"/>
        <w:jc w:val="both"/>
        <w:rPr>
          <w:rFonts w:cs="Times New Roman"/>
          <w:color w:val="000000" w:themeColor="text1"/>
          <w:sz w:val="30"/>
          <w:szCs w:val="30"/>
          <w14:textFill>
            <w14:solidFill>
              <w14:schemeClr w14:val="tx1"/>
            </w14:solidFill>
          </w14:textFill>
        </w:rPr>
      </w:pPr>
    </w:p>
    <w:p>
      <w:pPr>
        <w:pStyle w:val="72"/>
        <w:numPr>
          <w:ilvl w:val="0"/>
          <w:numId w:val="5"/>
        </w:numPr>
        <w:spacing w:before="163" w:after="163"/>
        <w:ind w:firstLine="600"/>
      </w:pPr>
      <w:bookmarkStart w:id="35" w:name="_Toc376597522"/>
      <w:bookmarkStart w:id="36" w:name="_Toc119341901"/>
      <w:r>
        <w:t>测试内容</w:t>
      </w:r>
      <w:bookmarkEnd w:id="35"/>
      <w:bookmarkEnd w:id="3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验证各参测机构技术系统已按照《</w:t>
      </w:r>
      <w:r>
        <w:rPr>
          <w:rStyle w:val="104"/>
        </w:rPr>
        <w:t>交易支持平台数据接口规范</w:t>
      </w:r>
      <w:r>
        <w:rPr>
          <w:rStyle w:val="105"/>
        </w:rPr>
        <w:t>(V2.1)</w:t>
      </w:r>
      <w:r>
        <w:rPr>
          <w:rFonts w:hint="eastAsia" w:cs="Times New Roman"/>
          <w:color w:val="000000" w:themeColor="text1"/>
          <w:sz w:val="30"/>
          <w:szCs w:val="30"/>
          <w14:textFill>
            <w14:solidFill>
              <w14:schemeClr w14:val="tx1"/>
            </w14:solidFill>
          </w14:textFill>
        </w:rPr>
        <w:t>》《</w:t>
      </w:r>
      <w:r>
        <w:rPr>
          <w:rStyle w:val="104"/>
        </w:rPr>
        <w:t>北京证券交易所市场参与者技术系统变更指南之融资融券业务（</w:t>
      </w:r>
      <w:r>
        <w:rPr>
          <w:rStyle w:val="105"/>
        </w:rPr>
        <w:t>V1.1</w:t>
      </w:r>
      <w:r>
        <w:rPr>
          <w:rStyle w:val="104"/>
        </w:rPr>
        <w:t>）</w:t>
      </w:r>
      <w:r>
        <w:rPr>
          <w:rFonts w:hint="eastAsia" w:cs="Times New Roman"/>
          <w:color w:val="000000" w:themeColor="text1"/>
          <w:sz w:val="30"/>
          <w:szCs w:val="30"/>
          <w14:textFill>
            <w14:solidFill>
              <w14:schemeClr w14:val="tx1"/>
            </w14:solidFill>
          </w14:textFill>
        </w:rPr>
        <w:t>》等</w:t>
      </w:r>
      <w:r>
        <w:rPr>
          <w:rFonts w:cs="Times New Roman"/>
          <w:color w:val="000000" w:themeColor="text1"/>
          <w:sz w:val="30"/>
          <w:szCs w:val="30"/>
          <w14:textFill>
            <w14:solidFill>
              <w14:schemeClr w14:val="tx1"/>
            </w14:solidFill>
          </w14:textFill>
        </w:rPr>
        <w:t>技术</w:t>
      </w:r>
      <w:r>
        <w:rPr>
          <w:rFonts w:hint="eastAsia" w:cs="Times New Roman"/>
          <w:color w:val="000000" w:themeColor="text1"/>
          <w:sz w:val="30"/>
          <w:szCs w:val="30"/>
          <w14:textFill>
            <w14:solidFill>
              <w14:schemeClr w14:val="tx1"/>
            </w14:solidFill>
          </w14:textFill>
        </w:rPr>
        <w:t>规范的要求对融资融券业务进行改造，达到上线要求。</w:t>
      </w:r>
    </w:p>
    <w:p>
      <w:pPr>
        <w:spacing w:line="240" w:lineRule="auto"/>
        <w:ind w:firstLine="600"/>
        <w:jc w:val="both"/>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rPr>
          <w:rStyle w:val="104"/>
        </w:rPr>
        <w:t>验证北交所交易支持平台能正确对融资融券业务各类申报进行检查校验、返回确认结果，能够正确对融资融券业务申报进行撮合处理，并发送成交回报和行情信息；</w:t>
      </w:r>
      <w:r>
        <w:rPr>
          <w:rStyle w:val="104"/>
          <w:rFonts w:hint="eastAsia"/>
        </w:rPr>
        <w:t>能够正确</w:t>
      </w:r>
      <w:r>
        <w:rPr>
          <w:rStyle w:val="104"/>
        </w:rPr>
        <w:t>处理</w:t>
      </w:r>
      <w:r>
        <w:rPr>
          <w:rStyle w:val="104"/>
          <w:rFonts w:hint="eastAsia"/>
        </w:rPr>
        <w:t>会员</w:t>
      </w:r>
      <w:r>
        <w:rPr>
          <w:rStyle w:val="104"/>
        </w:rPr>
        <w:t>报送的融资融券业务数据；能够正确支持融资融券标的证券、担保</w:t>
      </w:r>
      <w:r>
        <w:rPr>
          <w:rStyle w:val="104"/>
          <w:rFonts w:hint="eastAsia"/>
        </w:rPr>
        <w:t>证券</w:t>
      </w:r>
      <w:r>
        <w:rPr>
          <w:rStyle w:val="104"/>
        </w:rPr>
        <w:t>、风险控制等业务管理。</w:t>
      </w:r>
      <w:r>
        <w:t xml:space="preserve"> </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Style w:val="104"/>
        </w:rPr>
        <w:t>验证中国结算北京市场证券登记结算系统能够正确进行日终处理，生成日终数据并发布；验证中国结算</w:t>
      </w:r>
      <w:r>
        <w:rPr>
          <w:rStyle w:val="106"/>
        </w:rPr>
        <w:t>UAP</w:t>
      </w:r>
      <w:r>
        <w:rPr>
          <w:rStyle w:val="104"/>
        </w:rPr>
        <w:t>系统能够正确进行融资融券相关账户</w:t>
      </w:r>
      <w:r>
        <w:rPr>
          <w:rStyle w:val="104"/>
          <w:rFonts w:hint="eastAsia"/>
        </w:rPr>
        <w:t>管理</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highlight w:val="yellow"/>
          <w14:textFill>
            <w14:solidFill>
              <w14:schemeClr w14:val="tx1"/>
            </w14:solidFill>
          </w14:textFill>
        </w:rPr>
      </w:pPr>
      <w:r>
        <w:rPr>
          <w:rFonts w:cs="Times New Roman"/>
          <w:color w:val="000000" w:themeColor="text1"/>
          <w:sz w:val="30"/>
          <w:szCs w:val="30"/>
          <w14:textFill>
            <w14:solidFill>
              <w14:schemeClr w14:val="tx1"/>
            </w14:solidFill>
          </w14:textFill>
        </w:rPr>
        <w:t>3.</w:t>
      </w:r>
      <w:r>
        <w:rPr>
          <w:rStyle w:val="104"/>
        </w:rPr>
        <w:t>验证深证通通信系统能够正确转发会员的委托数据和北交所的回报</w:t>
      </w:r>
      <w:r>
        <w:rPr>
          <w:rStyle w:val="104"/>
          <w:rFonts w:hint="eastAsia"/>
        </w:rPr>
        <w:t>、</w:t>
      </w:r>
      <w:r>
        <w:rPr>
          <w:rStyle w:val="104"/>
        </w:rPr>
        <w:t>行情数据。</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cs="Times New Roman"/>
          <w:color w:val="000000" w:themeColor="text1"/>
          <w:sz w:val="30"/>
          <w:szCs w:val="30"/>
          <w:highlight w:val="yellow"/>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Style w:val="104"/>
        </w:rPr>
        <w:t>验证拟开展北交所融资融券业务的会员技术系统能够正确进行前端控制并发送各类委托，接收北交所返回的回报和行情数据并进行实时处理，确认融资融券行情揭示正常；能够正确对客户的投资者适当性、交易权限进行管理；能够正确报送融资融券业务数据和违约数据</w:t>
      </w:r>
      <w:r>
        <w:rPr>
          <w:rStyle w:val="104"/>
          <w:rFonts w:hint="eastAsia"/>
        </w:rPr>
        <w:t>，</w:t>
      </w:r>
      <w:r>
        <w:rPr>
          <w:rStyle w:val="104"/>
        </w:rPr>
        <w:t>并</w:t>
      </w:r>
      <w:r>
        <w:rPr>
          <w:rStyle w:val="104"/>
          <w:rFonts w:hint="eastAsia"/>
        </w:rPr>
        <w:t>接收信用违约资料汇总数据</w:t>
      </w:r>
      <w:r>
        <w:rPr>
          <w:rStyle w:val="104"/>
        </w:rPr>
        <w:t>；能够正确接收中国结算发布的日终数据并完成清算交收</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Style w:val="104"/>
        </w:rPr>
      </w:pPr>
      <w:r>
        <w:rPr>
          <w:rFonts w:hint="eastAsia" w:cs="Times New Roman"/>
          <w:color w:val="000000" w:themeColor="text1"/>
          <w:sz w:val="30"/>
          <w:szCs w:val="30"/>
          <w14:textFill>
            <w14:solidFill>
              <w14:schemeClr w14:val="tx1"/>
            </w14:solidFill>
          </w14:textFill>
        </w:rPr>
        <w:t>5.</w:t>
      </w:r>
      <w:r>
        <w:rPr>
          <w:rStyle w:val="104"/>
        </w:rPr>
        <w:t>验证提供北交所行情服务的信息商融资融券相关行情揭示正常。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6.验证北交所、全国股转系统、中国结算、深证通、</w:t>
      </w:r>
      <w:r>
        <w:rPr>
          <w:rFonts w:hint="eastAsia" w:cs="Times New Roman"/>
          <w:color w:val="000000" w:themeColor="text1"/>
          <w:sz w:val="30"/>
          <w:szCs w:val="30"/>
          <w:lang w:eastAsia="zh-CN"/>
          <w14:textFill>
            <w14:solidFill>
              <w14:schemeClr w14:val="tx1"/>
            </w14:solidFill>
          </w14:textFill>
        </w:rPr>
        <w:t>会员/主办券商</w:t>
      </w:r>
      <w:r>
        <w:rPr>
          <w:rFonts w:hint="eastAsia" w:cs="Times New Roman"/>
          <w:color w:val="000000" w:themeColor="text1"/>
          <w:sz w:val="30"/>
          <w:szCs w:val="30"/>
          <w14:textFill>
            <w14:solidFill>
              <w14:schemeClr w14:val="tx1"/>
            </w14:solidFill>
          </w14:textFill>
        </w:rPr>
        <w:t>等现有各项交易业务运行正常，</w:t>
      </w:r>
      <w:r>
        <w:rPr>
          <w:rFonts w:hint="eastAsia" w:cs="Times New Roman"/>
          <w:color w:val="000000" w:themeColor="text1"/>
          <w:sz w:val="30"/>
          <w:szCs w:val="30"/>
          <w:lang w:eastAsia="zh-CN"/>
          <w14:textFill>
            <w14:solidFill>
              <w14:schemeClr w14:val="tx1"/>
            </w14:solidFill>
          </w14:textFill>
        </w:rPr>
        <w:t>会员/主办券商</w:t>
      </w:r>
      <w:r>
        <w:rPr>
          <w:rFonts w:hint="eastAsia" w:cs="Times New Roman"/>
          <w:color w:val="000000" w:themeColor="text1"/>
          <w:sz w:val="30"/>
          <w:szCs w:val="30"/>
          <w14:textFill>
            <w14:solidFill>
              <w14:schemeClr w14:val="tx1"/>
            </w14:solidFill>
          </w14:textFill>
        </w:rPr>
        <w:t>、信息商等行情揭示正常。</w:t>
      </w:r>
    </w:p>
    <w:p>
      <w:pPr>
        <w:pStyle w:val="72"/>
        <w:numPr>
          <w:ilvl w:val="0"/>
          <w:numId w:val="5"/>
        </w:numPr>
        <w:spacing w:before="163" w:after="163"/>
        <w:ind w:firstLine="600"/>
      </w:pPr>
      <w:bookmarkStart w:id="37" w:name="_Toc119341902"/>
      <w:r>
        <w:t>测试场景及要求</w:t>
      </w:r>
      <w:bookmarkEnd w:id="37"/>
    </w:p>
    <w:p>
      <w:pPr>
        <w:pStyle w:val="73"/>
        <w:spacing w:before="163" w:after="163"/>
        <w:ind w:firstLine="562"/>
      </w:pPr>
      <w:bookmarkStart w:id="38" w:name="_Toc119341903"/>
      <w:r>
        <w:rPr>
          <w:rFonts w:hint="eastAsia"/>
        </w:rPr>
        <w:t>（一）</w:t>
      </w:r>
      <w:r>
        <w:rPr>
          <w:rFonts w:hint="eastAsia"/>
          <w:sz w:val="30"/>
          <w:szCs w:val="30"/>
        </w:rPr>
        <w:t>测试场景</w:t>
      </w:r>
      <w:bookmarkEnd w:id="38"/>
    </w:p>
    <w:tbl>
      <w:tblPr>
        <w:tblStyle w:val="3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18"/>
        <w:gridCol w:w="992"/>
        <w:gridCol w:w="992"/>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vMerge w:val="restart"/>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北交所</w:t>
            </w:r>
          </w:p>
          <w:p>
            <w:pPr>
              <w:ind w:firstLine="0" w:firstLineChars="0"/>
              <w:jc w:val="center"/>
              <w:rPr>
                <w:rFonts w:ascii="楷体" w:hAnsi="楷体" w:eastAsia="楷体"/>
                <w:b/>
                <w:szCs w:val="24"/>
              </w:rPr>
            </w:pPr>
            <w:r>
              <w:rPr>
                <w:rFonts w:hint="eastAsia" w:ascii="楷体" w:hAnsi="楷体" w:eastAsia="楷体"/>
                <w:b/>
                <w:szCs w:val="24"/>
              </w:rPr>
              <w:t>证券</w:t>
            </w:r>
            <w:r>
              <w:rPr>
                <w:rFonts w:ascii="楷体" w:hAnsi="楷体" w:eastAsia="楷体"/>
                <w:b/>
                <w:szCs w:val="24"/>
              </w:rPr>
              <w:t>代码</w:t>
            </w:r>
          </w:p>
        </w:tc>
        <w:tc>
          <w:tcPr>
            <w:tcW w:w="1418" w:type="dxa"/>
            <w:vMerge w:val="restart"/>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证券</w:t>
            </w:r>
            <w:r>
              <w:rPr>
                <w:rFonts w:ascii="楷体" w:hAnsi="楷体" w:eastAsia="楷体"/>
                <w:b/>
                <w:szCs w:val="24"/>
              </w:rPr>
              <w:t>简称</w:t>
            </w:r>
          </w:p>
        </w:tc>
        <w:tc>
          <w:tcPr>
            <w:tcW w:w="6095" w:type="dxa"/>
            <w:gridSpan w:val="4"/>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T</w:t>
            </w:r>
            <w:r>
              <w:rPr>
                <w:rFonts w:ascii="楷体" w:hAnsi="楷体" w:eastAsia="楷体"/>
                <w:b/>
                <w:szCs w:val="24"/>
              </w:rPr>
              <w:t>+1</w:t>
            </w:r>
            <w:r>
              <w:rPr>
                <w:rFonts w:hint="eastAsia" w:ascii="楷体" w:hAnsi="楷体" w:eastAsia="楷体"/>
                <w:b/>
                <w:szCs w:val="24"/>
              </w:rPr>
              <w:t>日交易参数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96" w:type="dxa"/>
            <w:vMerge w:val="continue"/>
            <w:shd w:val="clear" w:color="auto" w:fill="D8D8D8" w:themeFill="background1" w:themeFillShade="D9"/>
            <w:vAlign w:val="center"/>
          </w:tcPr>
          <w:p>
            <w:pPr>
              <w:ind w:firstLine="0" w:firstLineChars="0"/>
              <w:jc w:val="center"/>
              <w:rPr>
                <w:rFonts w:ascii="楷体" w:hAnsi="楷体" w:eastAsia="楷体"/>
                <w:b/>
                <w:szCs w:val="24"/>
              </w:rPr>
            </w:pPr>
          </w:p>
        </w:tc>
        <w:tc>
          <w:tcPr>
            <w:tcW w:w="1418" w:type="dxa"/>
            <w:vMerge w:val="continue"/>
            <w:shd w:val="clear" w:color="auto" w:fill="D8D8D8" w:themeFill="background1" w:themeFillShade="D9"/>
            <w:vAlign w:val="center"/>
          </w:tcPr>
          <w:p>
            <w:pPr>
              <w:ind w:firstLine="0" w:firstLineChars="0"/>
              <w:jc w:val="center"/>
              <w:rPr>
                <w:rFonts w:ascii="楷体" w:hAnsi="楷体" w:eastAsia="楷体"/>
                <w:b/>
                <w:szCs w:val="24"/>
              </w:rPr>
            </w:pPr>
          </w:p>
        </w:tc>
        <w:tc>
          <w:tcPr>
            <w:tcW w:w="992"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是否标的券</w:t>
            </w:r>
          </w:p>
        </w:tc>
        <w:tc>
          <w:tcPr>
            <w:tcW w:w="992" w:type="dxa"/>
            <w:shd w:val="clear" w:color="auto" w:fill="D8D8D8" w:themeFill="background1" w:themeFillShade="D9"/>
            <w:vAlign w:val="center"/>
          </w:tcPr>
          <w:p>
            <w:pPr>
              <w:ind w:firstLine="0" w:firstLineChars="0"/>
              <w:jc w:val="center"/>
              <w:rPr>
                <w:rFonts w:ascii="楷体" w:hAnsi="楷体" w:eastAsia="楷体"/>
                <w:b/>
                <w:szCs w:val="24"/>
                <w:highlight w:val="yellow"/>
              </w:rPr>
            </w:pPr>
            <w:r>
              <w:rPr>
                <w:rFonts w:hint="eastAsia" w:ascii="楷体" w:hAnsi="楷体" w:eastAsia="楷体"/>
                <w:b/>
                <w:szCs w:val="24"/>
              </w:rPr>
              <w:t>是否担保券</w:t>
            </w:r>
          </w:p>
        </w:tc>
        <w:tc>
          <w:tcPr>
            <w:tcW w:w="1843"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除权/除息生效</w:t>
            </w:r>
          </w:p>
        </w:tc>
        <w:tc>
          <w:tcPr>
            <w:tcW w:w="2268"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96"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4</w:t>
            </w:r>
            <w:r>
              <w:rPr>
                <w:rFonts w:cs="Times New Roman"/>
                <w:color w:val="000000" w:themeColor="text1"/>
                <w:szCs w:val="24"/>
                <w14:textFill>
                  <w14:solidFill>
                    <w14:schemeClr w14:val="tx1"/>
                  </w14:solidFill>
                </w14:textFill>
              </w:rPr>
              <w:t>30047</w:t>
            </w:r>
          </w:p>
        </w:tc>
        <w:tc>
          <w:tcPr>
            <w:tcW w:w="1418" w:type="dxa"/>
            <w:vAlign w:val="center"/>
          </w:tcPr>
          <w:p>
            <w:pPr>
              <w:ind w:firstLine="0" w:firstLineChars="0"/>
              <w:jc w:val="center"/>
              <w:rPr>
                <w:rFonts w:ascii="仿宋" w:hAnsi="仿宋" w:cs="Times New Roman"/>
                <w:bCs/>
                <w:color w:val="000000" w:themeColor="text1"/>
                <w:szCs w:val="24"/>
                <w14:textFill>
                  <w14:solidFill>
                    <w14:schemeClr w14:val="tx1"/>
                  </w14:solidFill>
                </w14:textFill>
              </w:rPr>
            </w:pPr>
            <w:r>
              <w:rPr>
                <w:rFonts w:hint="eastAsia" w:ascii="仿宋" w:hAnsi="仿宋" w:cs="Times New Roman"/>
                <w:bCs/>
                <w:color w:val="000000" w:themeColor="text1"/>
                <w:szCs w:val="24"/>
                <w14:textFill>
                  <w14:solidFill>
                    <w14:schemeClr w14:val="tx1"/>
                  </w14:solidFill>
                </w14:textFill>
              </w:rPr>
              <w:t>诺思兰德</w:t>
            </w:r>
          </w:p>
        </w:tc>
        <w:tc>
          <w:tcPr>
            <w:tcW w:w="992" w:type="dxa"/>
            <w:vAlign w:val="center"/>
          </w:tcPr>
          <w:p>
            <w:pPr>
              <w:ind w:firstLine="0" w:firstLineChars="0"/>
              <w:jc w:val="center"/>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是</w:t>
            </w:r>
          </w:p>
        </w:tc>
        <w:tc>
          <w:tcPr>
            <w:tcW w:w="992" w:type="dxa"/>
            <w:vAlign w:val="center"/>
          </w:tcPr>
          <w:p>
            <w:pPr>
              <w:ind w:firstLine="0" w:firstLineChars="0"/>
              <w:jc w:val="center"/>
              <w:rPr>
                <w:rFonts w:ascii="仿宋" w:hAnsi="仿宋" w:cs="Times New Roman"/>
                <w:bCs/>
                <w:color w:val="000000" w:themeColor="text1"/>
                <w:szCs w:val="24"/>
                <w14:textFill>
                  <w14:solidFill>
                    <w14:schemeClr w14:val="tx1"/>
                  </w14:solidFill>
                </w14:textFill>
              </w:rPr>
            </w:pPr>
            <w:r>
              <w:rPr>
                <w:rFonts w:hint="eastAsia" w:ascii="仿宋" w:hAnsi="仿宋" w:cs="Times New Roman"/>
                <w:bCs/>
                <w:color w:val="000000" w:themeColor="text1"/>
                <w:szCs w:val="24"/>
                <w14:textFill>
                  <w14:solidFill>
                    <w14:schemeClr w14:val="tx1"/>
                  </w14:solidFill>
                </w14:textFill>
              </w:rPr>
              <w:t>是</w:t>
            </w:r>
          </w:p>
        </w:tc>
        <w:tc>
          <w:tcPr>
            <w:tcW w:w="1843" w:type="dxa"/>
            <w:vAlign w:val="center"/>
          </w:tcPr>
          <w:p>
            <w:pPr>
              <w:ind w:firstLine="0" w:firstLineChars="0"/>
              <w:jc w:val="center"/>
              <w:rPr>
                <w:rFonts w:cs="Times New Roman"/>
                <w:szCs w:val="24"/>
              </w:rPr>
            </w:pPr>
            <w:r>
              <w:rPr>
                <w:rFonts w:hint="eastAsia" w:cs="Times New Roman"/>
                <w:szCs w:val="24"/>
              </w:rPr>
              <w:t>否</w:t>
            </w:r>
          </w:p>
        </w:tc>
        <w:tc>
          <w:tcPr>
            <w:tcW w:w="2268" w:type="dxa"/>
            <w:vAlign w:val="center"/>
          </w:tcPr>
          <w:p>
            <w:pPr>
              <w:ind w:firstLine="0" w:firstLineChars="0"/>
              <w:jc w:val="center"/>
              <w:rPr>
                <w:rFonts w:cs="Times New Roman"/>
                <w:szCs w:val="24"/>
              </w:rPr>
            </w:pPr>
            <w:r>
              <w:rPr>
                <w:rFonts w:hint="eastAsia" w:cs="Times New Roman"/>
                <w:szCs w:val="24"/>
              </w:rPr>
              <w:t>暂停可融资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96"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8</w:t>
            </w:r>
            <w:r>
              <w:rPr>
                <w:rFonts w:cs="Times New Roman"/>
                <w:color w:val="000000" w:themeColor="text1"/>
                <w:szCs w:val="24"/>
                <w14:textFill>
                  <w14:solidFill>
                    <w14:schemeClr w14:val="tx1"/>
                  </w14:solidFill>
                </w14:textFill>
              </w:rPr>
              <w:t>31726</w:t>
            </w:r>
          </w:p>
        </w:tc>
        <w:tc>
          <w:tcPr>
            <w:tcW w:w="1418" w:type="dxa"/>
            <w:vAlign w:val="center"/>
          </w:tcPr>
          <w:p>
            <w:pPr>
              <w:ind w:firstLine="0" w:firstLineChars="0"/>
              <w:jc w:val="center"/>
              <w:rPr>
                <w:rFonts w:ascii="仿宋" w:hAnsi="仿宋" w:cs="Times New Roman"/>
                <w:bCs/>
                <w:color w:val="000000" w:themeColor="text1"/>
                <w:szCs w:val="24"/>
                <w14:textFill>
                  <w14:solidFill>
                    <w14:schemeClr w14:val="tx1"/>
                  </w14:solidFill>
                </w14:textFill>
              </w:rPr>
            </w:pPr>
            <w:r>
              <w:rPr>
                <w:rFonts w:ascii="仿宋" w:hAnsi="仿宋" w:cs="Times New Roman"/>
                <w:bCs/>
                <w:color w:val="000000" w:themeColor="text1"/>
                <w:szCs w:val="24"/>
                <w14:textFill>
                  <w14:solidFill>
                    <w14:schemeClr w14:val="tx1"/>
                  </w14:solidFill>
                </w14:textFill>
              </w:rPr>
              <w:t>朱老六</w:t>
            </w:r>
          </w:p>
        </w:tc>
        <w:tc>
          <w:tcPr>
            <w:tcW w:w="992" w:type="dxa"/>
            <w:vAlign w:val="center"/>
          </w:tcPr>
          <w:p>
            <w:pPr>
              <w:ind w:firstLine="0" w:firstLineChars="0"/>
              <w:jc w:val="center"/>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是</w:t>
            </w:r>
          </w:p>
        </w:tc>
        <w:tc>
          <w:tcPr>
            <w:tcW w:w="992" w:type="dxa"/>
            <w:vAlign w:val="center"/>
          </w:tcPr>
          <w:p>
            <w:pPr>
              <w:ind w:firstLine="0" w:firstLineChars="0"/>
              <w:jc w:val="center"/>
              <w:rPr>
                <w:rFonts w:ascii="仿宋" w:hAnsi="仿宋" w:cs="Times New Roman"/>
                <w:bCs/>
                <w:color w:val="000000" w:themeColor="text1"/>
                <w:szCs w:val="24"/>
                <w14:textFill>
                  <w14:solidFill>
                    <w14:schemeClr w14:val="tx1"/>
                  </w14:solidFill>
                </w14:textFill>
              </w:rPr>
            </w:pPr>
            <w:r>
              <w:rPr>
                <w:rFonts w:hint="eastAsia" w:ascii="仿宋" w:hAnsi="仿宋" w:cs="Times New Roman"/>
                <w:bCs/>
                <w:color w:val="000000" w:themeColor="text1"/>
                <w:szCs w:val="24"/>
                <w14:textFill>
                  <w14:solidFill>
                    <w14:schemeClr w14:val="tx1"/>
                  </w14:solidFill>
                </w14:textFill>
              </w:rPr>
              <w:t>是</w:t>
            </w:r>
          </w:p>
        </w:tc>
        <w:tc>
          <w:tcPr>
            <w:tcW w:w="1843" w:type="dxa"/>
            <w:vAlign w:val="center"/>
          </w:tcPr>
          <w:p>
            <w:pPr>
              <w:ind w:firstLine="0" w:firstLineChars="0"/>
              <w:jc w:val="center"/>
              <w:rPr>
                <w:rFonts w:cs="Times New Roman"/>
                <w:szCs w:val="24"/>
              </w:rPr>
            </w:pPr>
            <w:r>
              <w:rPr>
                <w:rFonts w:hint="eastAsia" w:cs="Times New Roman"/>
                <w:szCs w:val="24"/>
              </w:rPr>
              <w:t>否</w:t>
            </w:r>
          </w:p>
        </w:tc>
        <w:tc>
          <w:tcPr>
            <w:tcW w:w="2268" w:type="dxa"/>
            <w:vAlign w:val="center"/>
          </w:tcPr>
          <w:p>
            <w:pPr>
              <w:ind w:firstLine="0" w:firstLineChars="0"/>
              <w:jc w:val="center"/>
              <w:rPr>
                <w:rFonts w:cs="Times New Roman"/>
                <w:szCs w:val="24"/>
              </w:rPr>
            </w:pPr>
            <w:r>
              <w:rPr>
                <w:rFonts w:hint="eastAsia" w:cs="Times New Roman"/>
                <w:szCs w:val="24"/>
              </w:rPr>
              <w:t>暂停可融券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96" w:type="dxa"/>
            <w:vAlign w:val="center"/>
          </w:tcPr>
          <w:p>
            <w:pPr>
              <w:ind w:firstLine="0" w:firstLineChars="0"/>
              <w:jc w:val="center"/>
              <w:rPr>
                <w:rFonts w:cs="Times New Roman"/>
                <w:szCs w:val="24"/>
                <w:highlight w:val="yellow"/>
              </w:rPr>
            </w:pPr>
            <w:r>
              <w:rPr>
                <w:rFonts w:hint="eastAsia" w:cs="Times New Roman"/>
                <w:szCs w:val="24"/>
              </w:rPr>
              <w:t>8</w:t>
            </w:r>
            <w:r>
              <w:rPr>
                <w:rFonts w:cs="Times New Roman"/>
                <w:szCs w:val="24"/>
              </w:rPr>
              <w:t>33819</w:t>
            </w:r>
          </w:p>
        </w:tc>
        <w:tc>
          <w:tcPr>
            <w:tcW w:w="1418" w:type="dxa"/>
            <w:vAlign w:val="center"/>
          </w:tcPr>
          <w:p>
            <w:pPr>
              <w:ind w:firstLine="0" w:firstLineChars="0"/>
              <w:jc w:val="center"/>
              <w:rPr>
                <w:rFonts w:ascii="仿宋" w:hAnsi="仿宋" w:cs="Times New Roman"/>
                <w:szCs w:val="24"/>
                <w:highlight w:val="yellow"/>
              </w:rPr>
            </w:pPr>
            <w:r>
              <w:rPr>
                <w:rFonts w:hint="eastAsia" w:ascii="仿宋" w:hAnsi="仿宋" w:cs="Times New Roman"/>
                <w:bCs/>
                <w:szCs w:val="24"/>
              </w:rPr>
              <w:t>颖泰生物</w:t>
            </w:r>
          </w:p>
        </w:tc>
        <w:tc>
          <w:tcPr>
            <w:tcW w:w="992" w:type="dxa"/>
            <w:vAlign w:val="center"/>
          </w:tcPr>
          <w:p>
            <w:pPr>
              <w:ind w:firstLine="0" w:firstLineChars="0"/>
              <w:jc w:val="center"/>
              <w:rPr>
                <w:rFonts w:cs="Times New Roman"/>
                <w:szCs w:val="24"/>
                <w:highlight w:val="yellow"/>
              </w:rPr>
            </w:pPr>
            <w:r>
              <w:rPr>
                <w:rFonts w:hint="eastAsia" w:ascii="仿宋" w:hAnsi="仿宋" w:cs="Times New Roman"/>
                <w:szCs w:val="24"/>
              </w:rPr>
              <w:t>是</w:t>
            </w:r>
          </w:p>
        </w:tc>
        <w:tc>
          <w:tcPr>
            <w:tcW w:w="992" w:type="dxa"/>
            <w:vAlign w:val="center"/>
          </w:tcPr>
          <w:p>
            <w:pPr>
              <w:ind w:firstLine="0" w:firstLineChars="0"/>
              <w:jc w:val="center"/>
              <w:rPr>
                <w:rFonts w:ascii="仿宋" w:hAnsi="仿宋" w:cs="Times New Roman"/>
                <w:bCs/>
                <w:szCs w:val="24"/>
              </w:rPr>
            </w:pPr>
            <w:r>
              <w:rPr>
                <w:rFonts w:hint="eastAsia" w:ascii="仿宋" w:hAnsi="仿宋" w:cs="Times New Roman"/>
                <w:bCs/>
                <w:szCs w:val="24"/>
              </w:rPr>
              <w:t>是</w:t>
            </w:r>
          </w:p>
        </w:tc>
        <w:tc>
          <w:tcPr>
            <w:tcW w:w="1843" w:type="dxa"/>
            <w:vAlign w:val="center"/>
          </w:tcPr>
          <w:p>
            <w:pPr>
              <w:ind w:firstLine="0" w:firstLineChars="0"/>
              <w:jc w:val="center"/>
              <w:rPr>
                <w:rFonts w:ascii="仿宋" w:hAnsi="仿宋" w:cs="Times New Roman"/>
                <w:bCs/>
                <w:szCs w:val="24"/>
              </w:rPr>
            </w:pPr>
            <w:r>
              <w:rPr>
                <w:rFonts w:hint="eastAsia" w:ascii="仿宋" w:hAnsi="仿宋" w:cs="Times New Roman"/>
                <w:bCs/>
                <w:szCs w:val="24"/>
              </w:rPr>
              <w:t>除权除息（每 10股送 1 股派 1 元）</w:t>
            </w:r>
          </w:p>
        </w:tc>
        <w:tc>
          <w:tcPr>
            <w:tcW w:w="2268" w:type="dxa"/>
            <w:vAlign w:val="center"/>
          </w:tcPr>
          <w:p>
            <w:pPr>
              <w:ind w:firstLine="0" w:firstLineChars="0"/>
              <w:jc w:val="center"/>
              <w:rPr>
                <w:rFonts w:ascii="仿宋" w:hAnsi="仿宋" w:cs="Times New Roman"/>
                <w:bCs/>
                <w:szCs w:val="24"/>
              </w:rPr>
            </w:pPr>
            <w:r>
              <w:rPr>
                <w:rFonts w:hint="eastAsia" w:ascii="仿宋" w:hAnsi="仿宋" w:cs="Times New Roman"/>
                <w:bCs/>
                <w:szCs w:val="24"/>
              </w:rPr>
              <w:t>正常交易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96" w:type="dxa"/>
            <w:vAlign w:val="center"/>
          </w:tcPr>
          <w:p>
            <w:pPr>
              <w:spacing w:line="0" w:lineRule="atLeast"/>
              <w:ind w:firstLine="0" w:firstLineChars="0"/>
              <w:jc w:val="center"/>
              <w:rPr>
                <w:rFonts w:cs="Times New Roman"/>
                <w:szCs w:val="24"/>
              </w:rPr>
            </w:pPr>
            <w:r>
              <w:rPr>
                <w:rFonts w:hint="eastAsia" w:cs="Times New Roman"/>
                <w:szCs w:val="24"/>
              </w:rPr>
              <w:t>8</w:t>
            </w:r>
            <w:r>
              <w:rPr>
                <w:rFonts w:cs="Times New Roman"/>
                <w:szCs w:val="24"/>
              </w:rPr>
              <w:t>73821</w:t>
            </w:r>
          </w:p>
          <w:p>
            <w:pPr>
              <w:spacing w:line="0" w:lineRule="atLeast"/>
              <w:ind w:firstLine="0" w:firstLineChars="0"/>
              <w:jc w:val="center"/>
              <w:rPr>
                <w:rFonts w:cs="Times New Roman"/>
                <w:szCs w:val="24"/>
              </w:rPr>
            </w:pPr>
            <w:r>
              <w:rPr>
                <w:rFonts w:hint="eastAsia" w:cs="Times New Roman"/>
                <w:szCs w:val="24"/>
              </w:rPr>
              <w:t>（发行代码：8</w:t>
            </w:r>
            <w:r>
              <w:rPr>
                <w:rFonts w:cs="Times New Roman"/>
                <w:szCs w:val="24"/>
              </w:rPr>
              <w:t>89456</w:t>
            </w:r>
            <w:r>
              <w:rPr>
                <w:rFonts w:hint="eastAsia" w:cs="Times New Roman"/>
                <w:szCs w:val="24"/>
              </w:rPr>
              <w:t>）</w:t>
            </w:r>
          </w:p>
        </w:tc>
        <w:tc>
          <w:tcPr>
            <w:tcW w:w="1418" w:type="dxa"/>
            <w:vAlign w:val="center"/>
          </w:tcPr>
          <w:p>
            <w:pPr>
              <w:ind w:firstLine="0" w:firstLineChars="0"/>
              <w:jc w:val="center"/>
              <w:rPr>
                <w:rFonts w:ascii="仿宋" w:hAnsi="仿宋" w:cs="Times New Roman"/>
                <w:bCs/>
                <w:szCs w:val="24"/>
              </w:rPr>
            </w:pPr>
            <w:r>
              <w:rPr>
                <w:rFonts w:ascii="仿宋" w:hAnsi="仿宋" w:cs="Times New Roman"/>
                <w:bCs/>
                <w:szCs w:val="24"/>
              </w:rPr>
              <w:t>祥瑞生物</w:t>
            </w:r>
          </w:p>
        </w:tc>
        <w:tc>
          <w:tcPr>
            <w:tcW w:w="992" w:type="dxa"/>
            <w:vAlign w:val="center"/>
          </w:tcPr>
          <w:p>
            <w:pPr>
              <w:ind w:firstLine="0" w:firstLineChars="0"/>
              <w:jc w:val="center"/>
              <w:rPr>
                <w:rFonts w:ascii="仿宋" w:hAnsi="仿宋" w:cs="Times New Roman"/>
                <w:szCs w:val="24"/>
              </w:rPr>
            </w:pPr>
            <w:r>
              <w:rPr>
                <w:rFonts w:hint="eastAsia" w:ascii="仿宋" w:hAnsi="仿宋" w:cs="Times New Roman"/>
                <w:szCs w:val="24"/>
              </w:rPr>
              <w:t>否</w:t>
            </w:r>
          </w:p>
        </w:tc>
        <w:tc>
          <w:tcPr>
            <w:tcW w:w="992" w:type="dxa"/>
            <w:vAlign w:val="center"/>
          </w:tcPr>
          <w:p>
            <w:pPr>
              <w:ind w:firstLine="0" w:firstLineChars="0"/>
              <w:jc w:val="center"/>
              <w:rPr>
                <w:rFonts w:ascii="仿宋" w:hAnsi="仿宋" w:cs="Times New Roman"/>
                <w:bCs/>
                <w:szCs w:val="24"/>
              </w:rPr>
            </w:pPr>
            <w:r>
              <w:rPr>
                <w:rFonts w:hint="eastAsia" w:ascii="仿宋" w:hAnsi="仿宋" w:cs="Times New Roman"/>
                <w:bCs/>
                <w:szCs w:val="24"/>
              </w:rPr>
              <w:t>否</w:t>
            </w:r>
          </w:p>
        </w:tc>
        <w:tc>
          <w:tcPr>
            <w:tcW w:w="1843" w:type="dxa"/>
            <w:vAlign w:val="center"/>
          </w:tcPr>
          <w:p>
            <w:pPr>
              <w:ind w:firstLine="0" w:firstLineChars="0"/>
              <w:jc w:val="center"/>
              <w:rPr>
                <w:rFonts w:ascii="仿宋" w:hAnsi="仿宋" w:cs="Times New Roman"/>
                <w:bCs/>
                <w:szCs w:val="24"/>
              </w:rPr>
            </w:pPr>
            <w:r>
              <w:rPr>
                <w:rFonts w:hint="eastAsia" w:ascii="仿宋" w:hAnsi="仿宋" w:cs="Times New Roman"/>
                <w:bCs/>
                <w:szCs w:val="24"/>
              </w:rPr>
              <w:t>否</w:t>
            </w:r>
          </w:p>
        </w:tc>
        <w:tc>
          <w:tcPr>
            <w:tcW w:w="2268" w:type="dxa"/>
            <w:vAlign w:val="center"/>
          </w:tcPr>
          <w:p>
            <w:pPr>
              <w:spacing w:line="0" w:lineRule="atLeast"/>
              <w:ind w:firstLine="0" w:firstLineChars="0"/>
              <w:jc w:val="center"/>
              <w:rPr>
                <w:rFonts w:ascii="仿宋" w:hAnsi="仿宋" w:cs="Times New Roman"/>
                <w:bCs/>
                <w:szCs w:val="24"/>
              </w:rPr>
            </w:pPr>
            <w:r>
              <w:rPr>
                <w:rFonts w:hint="eastAsia" w:ascii="仿宋" w:hAnsi="仿宋" w:cs="Times New Roman"/>
                <w:bCs/>
                <w:szCs w:val="24"/>
              </w:rPr>
              <w:t>定价发行（发行数量：1</w:t>
            </w:r>
            <w:r>
              <w:rPr>
                <w:rFonts w:ascii="仿宋" w:hAnsi="仿宋" w:cs="Times New Roman"/>
                <w:bCs/>
                <w:szCs w:val="24"/>
              </w:rPr>
              <w:t>,000,000</w:t>
            </w:r>
            <w:r>
              <w:rPr>
                <w:rFonts w:hint="eastAsia" w:ascii="仿宋" w:hAnsi="仿宋" w:cs="Times New Roman"/>
                <w:bCs/>
                <w:szCs w:val="24"/>
              </w:rPr>
              <w:t>，</w:t>
            </w:r>
            <w:r>
              <w:rPr>
                <w:rFonts w:ascii="仿宋" w:hAnsi="仿宋" w:cs="Times New Roman"/>
                <w:bCs/>
                <w:szCs w:val="24"/>
              </w:rPr>
              <w:t>数量范围</w:t>
            </w:r>
            <w:r>
              <w:rPr>
                <w:rFonts w:hint="eastAsia" w:ascii="仿宋" w:hAnsi="仿宋" w:cs="Times New Roman"/>
                <w:bCs/>
                <w:szCs w:val="24"/>
              </w:rPr>
              <w:t>：1</w:t>
            </w:r>
            <w:r>
              <w:rPr>
                <w:rFonts w:ascii="仿宋" w:hAnsi="仿宋" w:cs="Times New Roman"/>
                <w:bCs/>
                <w:szCs w:val="24"/>
              </w:rPr>
              <w:t>00</w:t>
            </w:r>
            <w:r>
              <w:rPr>
                <w:rFonts w:hint="eastAsia" w:ascii="仿宋" w:hAnsi="仿宋" w:cs="Times New Roman"/>
                <w:bCs/>
                <w:szCs w:val="24"/>
              </w:rPr>
              <w:t>-</w:t>
            </w:r>
            <w:r>
              <w:rPr>
                <w:rFonts w:ascii="仿宋" w:hAnsi="仿宋" w:cs="Times New Roman"/>
                <w:bCs/>
                <w:szCs w:val="24"/>
              </w:rPr>
              <w:t>10</w:t>
            </w:r>
            <w:r>
              <w:rPr>
                <w:rFonts w:hint="eastAsia" w:ascii="仿宋" w:hAnsi="仿宋" w:cs="Times New Roman"/>
                <w:bCs/>
                <w:szCs w:val="24"/>
              </w:rPr>
              <w:t>0</w:t>
            </w:r>
            <w:r>
              <w:rPr>
                <w:rFonts w:ascii="仿宋" w:hAnsi="仿宋" w:cs="Times New Roman"/>
                <w:bCs/>
                <w:szCs w:val="24"/>
              </w:rPr>
              <w:t>,000</w:t>
            </w:r>
            <w:r>
              <w:rPr>
                <w:rFonts w:hint="eastAsia" w:ascii="仿宋" w:hAnsi="仿宋" w:cs="Times New Roman"/>
                <w:bCs/>
                <w:szCs w:val="24"/>
              </w:rPr>
              <w:t>，</w:t>
            </w:r>
            <w:r>
              <w:rPr>
                <w:rFonts w:ascii="仿宋" w:hAnsi="仿宋" w:cs="Times New Roman"/>
                <w:bCs/>
                <w:szCs w:val="24"/>
              </w:rPr>
              <w:t>价格</w:t>
            </w:r>
            <w:r>
              <w:rPr>
                <w:rFonts w:hint="eastAsia" w:ascii="仿宋" w:hAnsi="仿宋" w:cs="Times New Roman"/>
                <w:bCs/>
                <w:szCs w:val="24"/>
              </w:rPr>
              <w:t>：5元）</w:t>
            </w:r>
          </w:p>
        </w:tc>
      </w:tr>
    </w:tbl>
    <w:p>
      <w:pPr>
        <w:pStyle w:val="73"/>
        <w:spacing w:before="163" w:after="163"/>
        <w:ind w:firstLine="562"/>
        <w:rPr>
          <w:sz w:val="30"/>
          <w:szCs w:val="30"/>
        </w:rPr>
      </w:pPr>
      <w:bookmarkStart w:id="39" w:name="_Toc119341904"/>
      <w:r>
        <w:rPr>
          <w:rFonts w:hint="eastAsia"/>
        </w:rPr>
        <w:t>（二）交易类</w:t>
      </w:r>
      <w:r>
        <w:rPr>
          <w:rFonts w:hint="eastAsia"/>
          <w:sz w:val="30"/>
          <w:szCs w:val="30"/>
        </w:rPr>
        <w:t>测试要求</w:t>
      </w:r>
      <w:bookmarkEnd w:id="39"/>
    </w:p>
    <w:p>
      <w:pPr>
        <w:spacing w:line="240" w:lineRule="auto"/>
        <w:ind w:firstLine="602"/>
        <w:jc w:val="both"/>
        <w:rPr>
          <w:rFonts w:cs="Times New Roman"/>
          <w:b/>
          <w:sz w:val="30"/>
          <w:szCs w:val="30"/>
        </w:rPr>
      </w:pPr>
      <w:r>
        <w:rPr>
          <w:rFonts w:hint="eastAsia" w:cs="Times New Roman"/>
          <w:b/>
          <w:sz w:val="30"/>
          <w:szCs w:val="30"/>
        </w:rPr>
        <w:t>T</w:t>
      </w:r>
      <w:r>
        <w:rPr>
          <w:rFonts w:cs="Times New Roman"/>
          <w:b/>
          <w:sz w:val="30"/>
          <w:szCs w:val="30"/>
        </w:rPr>
        <w:t>日交易测试要求</w:t>
      </w:r>
      <w:r>
        <w:rPr>
          <w:rFonts w:hint="eastAsia" w:cs="Times New Roman"/>
          <w:b/>
          <w:sz w:val="30"/>
          <w:szCs w:val="30"/>
        </w:rPr>
        <w:t>：</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cs="Times New Roman"/>
          <w:color w:val="000000" w:themeColor="text1"/>
          <w:sz w:val="30"/>
          <w:szCs w:val="30"/>
          <w14:textFill>
            <w14:solidFill>
              <w14:schemeClr w14:val="tx1"/>
            </w14:solidFill>
          </w14:textFill>
        </w:rPr>
      </w:pPr>
      <w:r>
        <w:rPr>
          <w:rFonts w:hint="eastAsia" w:cs="Times New Roman"/>
          <w:sz w:val="30"/>
          <w:szCs w:val="30"/>
        </w:rPr>
        <w:t>验证测试。全体参测</w:t>
      </w:r>
      <w:r>
        <w:rPr>
          <w:rFonts w:hint="eastAsia" w:cs="Times New Roman"/>
          <w:sz w:val="30"/>
          <w:szCs w:val="30"/>
          <w:lang w:eastAsia="zh-CN"/>
        </w:rPr>
        <w:t>会员/主办券商</w:t>
      </w:r>
      <w:r>
        <w:rPr>
          <w:rFonts w:hint="eastAsia" w:cs="Times New Roman"/>
          <w:color w:val="000000" w:themeColor="text1"/>
          <w:sz w:val="30"/>
          <w:szCs w:val="30"/>
          <w14:textFill>
            <w14:solidFill>
              <w14:schemeClr w14:val="tx1"/>
            </w14:solidFill>
          </w14:textFill>
        </w:rPr>
        <w:t>等验证现有各项交易业务运行正常。</w:t>
      </w:r>
    </w:p>
    <w:p>
      <w:pPr>
        <w:spacing w:line="240" w:lineRule="auto"/>
        <w:ind w:firstLine="602"/>
        <w:jc w:val="both"/>
        <w:rPr>
          <w:rFonts w:cs="Times New Roman"/>
          <w:b/>
          <w:sz w:val="30"/>
          <w:szCs w:val="30"/>
        </w:rPr>
      </w:pPr>
      <w:r>
        <w:rPr>
          <w:rFonts w:cs="Times New Roman"/>
          <w:b/>
          <w:sz w:val="30"/>
          <w:szCs w:val="30"/>
        </w:rPr>
        <w:t>T</w:t>
      </w:r>
      <w:r>
        <w:rPr>
          <w:rFonts w:hint="eastAsia" w:cs="Times New Roman"/>
          <w:b/>
          <w:sz w:val="30"/>
          <w:szCs w:val="30"/>
        </w:rPr>
        <w:t>+</w:t>
      </w:r>
      <w:r>
        <w:rPr>
          <w:rFonts w:cs="Times New Roman"/>
          <w:b/>
          <w:sz w:val="30"/>
          <w:szCs w:val="30"/>
        </w:rPr>
        <w:t>1日交易测试要求</w:t>
      </w:r>
      <w:r>
        <w:rPr>
          <w:rFonts w:hint="eastAsia" w:cs="Times New Roman"/>
          <w:b/>
          <w:sz w:val="30"/>
          <w:szCs w:val="30"/>
        </w:rPr>
        <w:t>：</w:t>
      </w:r>
    </w:p>
    <w:p>
      <w:pPr>
        <w:spacing w:line="240" w:lineRule="auto"/>
        <w:ind w:firstLine="600"/>
        <w:jc w:val="both"/>
        <w:rPr>
          <w:rFonts w:cs="Times New Roman"/>
          <w:sz w:val="30"/>
          <w:szCs w:val="30"/>
        </w:rPr>
      </w:pPr>
      <w:r>
        <w:rPr>
          <w:rFonts w:cs="Times New Roman"/>
          <w:sz w:val="30"/>
          <w:szCs w:val="30"/>
        </w:rPr>
        <w:t xml:space="preserve">1. </w:t>
      </w:r>
      <w:r>
        <w:rPr>
          <w:rFonts w:hint="eastAsia" w:cs="Times New Roman"/>
          <w:sz w:val="30"/>
          <w:szCs w:val="30"/>
        </w:rPr>
        <w:t>通过信用账户进行融资融券类型申报和撤单。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非信用账户不可通过融资融券专用交易单元申报。客户信用担保证券账户和融券专用账户不允许进行任何申报。</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信用账户不得申报要约业务，不得交易优先股、两网退市股票、 可转债，不得通过非融资融券专用交易单元申报。</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融券卖出不允许申报市价订单，最小申报数量不低于100股，不存在余股一次性卖出，卖出价不低于最近成交价（前收盘价）。</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 xml:space="preserve">2. </w:t>
      </w:r>
      <w:r>
        <w:rPr>
          <w:rFonts w:hint="eastAsia" w:cs="Times New Roman"/>
          <w:color w:val="000000" w:themeColor="text1"/>
          <w:sz w:val="30"/>
          <w:szCs w:val="30"/>
          <w14:textFill>
            <w14:solidFill>
              <w14:schemeClr w14:val="tx1"/>
            </w14:solidFill>
          </w14:textFill>
        </w:rPr>
        <w:t>信用账户的普通买入、卖出可申报大宗交易。带有融资融券标识或带有强平标识的订单不可申报大宗交易。</w:t>
      </w:r>
    </w:p>
    <w:p>
      <w:pPr>
        <w:spacing w:line="240" w:lineRule="auto"/>
        <w:ind w:firstLine="600"/>
        <w:jc w:val="both"/>
        <w:rPr>
          <w:rFonts w:cs="Times New Roman"/>
          <w:sz w:val="30"/>
          <w:szCs w:val="30"/>
        </w:rPr>
      </w:pPr>
      <w:r>
        <w:rPr>
          <w:rFonts w:cs="Times New Roman"/>
          <w:sz w:val="30"/>
          <w:szCs w:val="30"/>
        </w:rPr>
        <w:t xml:space="preserve">3. </w:t>
      </w:r>
      <w:r>
        <w:rPr>
          <w:rFonts w:hint="eastAsia" w:cs="Times New Roman"/>
          <w:sz w:val="30"/>
          <w:szCs w:val="30"/>
        </w:rPr>
        <w:t>信用账户可以参与公开发行业务，处理规则视同普通账户。</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 日终</w:t>
      </w:r>
      <w:r>
        <w:rPr>
          <w:rFonts w:hint="eastAsia" w:cs="Times New Roman"/>
          <w:color w:val="000000" w:themeColor="text1"/>
          <w:sz w:val="30"/>
          <w:szCs w:val="30"/>
          <w14:textFill>
            <w14:solidFill>
              <w14:schemeClr w14:val="tx1"/>
            </w14:solidFill>
          </w14:textFill>
        </w:rPr>
        <w:t>报送融资融券余额数据、信用违约资料，接收信用违约资料汇总数据。</w:t>
      </w:r>
    </w:p>
    <w:p>
      <w:pPr>
        <w:pStyle w:val="72"/>
        <w:numPr>
          <w:ilvl w:val="0"/>
          <w:numId w:val="5"/>
        </w:numPr>
        <w:spacing w:before="163" w:after="163"/>
        <w:ind w:firstLine="600"/>
      </w:pPr>
      <w:bookmarkStart w:id="40" w:name="_Toc119341905"/>
      <w:r>
        <w:t>测试数据准备</w:t>
      </w:r>
      <w:bookmarkEnd w:id="40"/>
    </w:p>
    <w:p>
      <w:pPr>
        <w:pStyle w:val="73"/>
        <w:spacing w:before="163" w:after="163"/>
        <w:ind w:firstLine="562"/>
      </w:pPr>
      <w:bookmarkStart w:id="41" w:name="_Toc119341906"/>
      <w:bookmarkStart w:id="42" w:name="_Toc502216522"/>
      <w:bookmarkStart w:id="43" w:name="_Toc502217616"/>
      <w:r>
        <w:rPr>
          <w:rFonts w:hint="eastAsia"/>
        </w:rPr>
        <w:t>（一）</w:t>
      </w:r>
      <w:r>
        <w:rPr>
          <w:sz w:val="30"/>
          <w:szCs w:val="30"/>
        </w:rPr>
        <w:t>证券行情和证券信息</w:t>
      </w:r>
      <w:bookmarkEnd w:id="41"/>
      <w:bookmarkEnd w:id="42"/>
      <w:bookmarkEnd w:id="43"/>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初始证券行情和初始证券信息以</w:t>
      </w:r>
      <w:r>
        <w:rPr>
          <w:rFonts w:hint="eastAsia" w:cs="Times New Roman"/>
          <w:color w:val="000000" w:themeColor="text1"/>
          <w:sz w:val="30"/>
          <w:szCs w:val="30"/>
          <w14:textFill>
            <w14:solidFill>
              <w14:schemeClr w14:val="tx1"/>
            </w14:solidFill>
          </w14:textFill>
        </w:rPr>
        <w:t>2022年12月</w:t>
      </w:r>
      <w:r>
        <w:rPr>
          <w:rFonts w:cs="Times New Roman"/>
          <w:color w:val="000000" w:themeColor="text1"/>
          <w:sz w:val="30"/>
          <w:szCs w:val="30"/>
          <w14:textFill>
            <w14:solidFill>
              <w14:schemeClr w14:val="tx1"/>
            </w14:solidFill>
          </w14:textFill>
        </w:rPr>
        <w:t>16</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交易支持平台生产</w:t>
      </w:r>
      <w:r>
        <w:rPr>
          <w:rFonts w:cs="Times New Roman"/>
          <w:color w:val="000000" w:themeColor="text1"/>
          <w:sz w:val="30"/>
          <w:szCs w:val="30"/>
          <w14:textFill>
            <w14:solidFill>
              <w14:schemeClr w14:val="tx1"/>
            </w14:solidFill>
          </w14:textFill>
        </w:rPr>
        <w:t>环境收盘证券行情（NQHQ.DBF）和证券信息（NQXX.DBF）为准。</w:t>
      </w:r>
    </w:p>
    <w:p>
      <w:pPr>
        <w:pStyle w:val="73"/>
        <w:pageBreakBefore w:val="0"/>
        <w:widowControl w:val="0"/>
        <w:kinsoku/>
        <w:wordWrap/>
        <w:overflowPunct/>
        <w:topLinePunct w:val="0"/>
        <w:autoSpaceDE/>
        <w:autoSpaceDN/>
        <w:bidi w:val="0"/>
        <w:spacing w:before="163" w:after="163"/>
        <w:ind w:firstLine="562"/>
        <w:textAlignment w:val="auto"/>
      </w:pPr>
      <w:bookmarkStart w:id="44" w:name="_Toc502217617"/>
      <w:bookmarkStart w:id="45" w:name="_Toc502216523"/>
      <w:bookmarkStart w:id="46" w:name="_Toc119341907"/>
      <w:r>
        <w:rPr>
          <w:rFonts w:hint="eastAsia"/>
        </w:rPr>
        <w:t>（二）</w:t>
      </w:r>
      <w:r>
        <w:rPr>
          <w:sz w:val="30"/>
          <w:szCs w:val="30"/>
        </w:rPr>
        <w:t>证券账户、交易单元、托管单元及持仓</w:t>
      </w:r>
      <w:bookmarkEnd w:id="44"/>
      <w:bookmarkEnd w:id="45"/>
      <w:bookmarkEnd w:id="46"/>
    </w:p>
    <w:p>
      <w:pPr>
        <w:pageBreakBefore w:val="0"/>
        <w:widowControl w:val="0"/>
        <w:kinsoku/>
        <w:wordWrap/>
        <w:overflowPunct/>
        <w:topLinePunct w:val="0"/>
        <w:autoSpaceDE/>
        <w:autoSpaceDN/>
        <w:bidi w:val="0"/>
        <w:spacing w:line="240" w:lineRule="auto"/>
        <w:ind w:firstLine="600"/>
        <w:jc w:val="both"/>
        <w:textAlignment w:val="auto"/>
        <w:rPr>
          <w:rStyle w:val="104"/>
        </w:rPr>
      </w:pPr>
      <w:r>
        <w:rPr>
          <w:rFonts w:hint="eastAsia" w:cs="Times New Roman"/>
          <w:color w:val="000000" w:themeColor="text1"/>
          <w:sz w:val="30"/>
          <w:szCs w:val="30"/>
          <w14:textFill>
            <w14:solidFill>
              <w14:schemeClr w14:val="tx1"/>
            </w14:solidFill>
          </w14:textFill>
        </w:rPr>
        <w:t>测试账户另行发布，</w:t>
      </w:r>
      <w:r>
        <w:rPr>
          <w:rStyle w:val="104"/>
        </w:rPr>
        <w:t>请各参加融资融券业务测试的会员在</w:t>
      </w:r>
      <w:r>
        <w:rPr>
          <w:rFonts w:hint="eastAsia" w:cs="Times New Roman"/>
          <w:color w:val="000000" w:themeColor="text1"/>
          <w:sz w:val="30"/>
          <w:szCs w:val="30"/>
          <w14:textFill>
            <w14:solidFill>
              <w14:schemeClr w14:val="tx1"/>
            </w14:solidFill>
          </w14:textFill>
        </w:rPr>
        <w:t>通关测试T日通过UAP系统维护测试用普通账户和信用账户的北京市场标志。T日日终后将为参测会员融券专用账户、普通账户和信用账户分配430047、831726、833819、870299、839946初始持仓666,666股</w:t>
      </w:r>
      <w:r>
        <w:rPr>
          <w:rStyle w:val="104"/>
          <w:rFonts w:hint="eastAsia"/>
        </w:rPr>
        <w:t>。</w:t>
      </w:r>
    </w:p>
    <w:p>
      <w:pPr>
        <w:spacing w:line="240" w:lineRule="auto"/>
        <w:ind w:firstLine="600"/>
        <w:jc w:val="both"/>
        <w:rPr>
          <w:rFonts w:cs="Times New Roman"/>
          <w:color w:val="000000" w:themeColor="text1"/>
          <w:sz w:val="30"/>
          <w:szCs w:val="30"/>
          <w14:textFill>
            <w14:solidFill>
              <w14:schemeClr w14:val="tx1"/>
            </w14:solidFill>
          </w14:textFill>
        </w:rPr>
      </w:pPr>
      <w:r>
        <w:rPr>
          <w:rStyle w:val="104"/>
        </w:rPr>
        <w:t>其余证券账户及持仓的初始信息以</w:t>
      </w:r>
      <w:r>
        <w:rPr>
          <w:rFonts w:hint="eastAsia" w:cs="Times New Roman"/>
          <w:color w:val="000000" w:themeColor="text1"/>
          <w:sz w:val="30"/>
          <w:szCs w:val="30"/>
          <w14:textFill>
            <w14:solidFill>
              <w14:schemeClr w14:val="tx1"/>
            </w14:solidFill>
          </w14:textFill>
        </w:rPr>
        <w:t>2022年12月16日（周五）</w:t>
      </w:r>
      <w:r>
        <w:rPr>
          <w:rStyle w:val="104"/>
        </w:rPr>
        <w:t>全国股转系统、北交所和中国结算生产测试环境日终数据为准。</w:t>
      </w:r>
    </w:p>
    <w:p>
      <w:pPr>
        <w:pStyle w:val="73"/>
        <w:spacing w:before="163" w:after="163"/>
        <w:ind w:firstLine="562"/>
      </w:pPr>
      <w:bookmarkStart w:id="47" w:name="_Toc502216528"/>
      <w:bookmarkStart w:id="48" w:name="_Toc502217622"/>
      <w:bookmarkStart w:id="49" w:name="_Toc119341908"/>
      <w:r>
        <w:rPr>
          <w:rFonts w:hint="eastAsia"/>
        </w:rPr>
        <w:t>（三）</w:t>
      </w:r>
      <w:r>
        <w:rPr>
          <w:sz w:val="30"/>
          <w:szCs w:val="30"/>
        </w:rPr>
        <w:t>交易网关、行情网关和结算网关</w:t>
      </w:r>
      <w:bookmarkEnd w:id="47"/>
      <w:bookmarkEnd w:id="48"/>
      <w:bookmarkEnd w:id="4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将为参与融资融券交易测试的会员分配交易单元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、结算网关，另行发布，仅供通关测试使用。其他</w:t>
      </w:r>
      <w:r>
        <w:rPr>
          <w:rFonts w:cs="Times New Roman"/>
          <w:color w:val="000000" w:themeColor="text1"/>
          <w:sz w:val="30"/>
          <w:szCs w:val="30"/>
          <w14:textFill>
            <w14:solidFill>
              <w14:schemeClr w14:val="tx1"/>
            </w14:solidFill>
          </w14:textFill>
        </w:rPr>
        <w:t>交易网关、行情网关、结算网关的初始用户与密码以</w:t>
      </w:r>
      <w:r>
        <w:rPr>
          <w:rFonts w:hint="eastAsia" w:cs="Times New Roman"/>
          <w:color w:val="000000" w:themeColor="text1"/>
          <w:sz w:val="30"/>
          <w:szCs w:val="30"/>
          <w14:textFill>
            <w14:solidFill>
              <w14:schemeClr w14:val="tx1"/>
            </w14:solidFill>
          </w14:textFill>
        </w:rPr>
        <w:t>2022年12月16日（周五）</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bookmarkStart w:id="50" w:name="_Toc374381928"/>
      <w:bookmarkStart w:id="51" w:name="_Toc376597526"/>
      <w:bookmarkStart w:id="52" w:name="_Toc376285233"/>
      <w:bookmarkStart w:id="53" w:name="_Toc375070738"/>
      <w:bookmarkStart w:id="54" w:name="_Toc375557974"/>
      <w:bookmarkStart w:id="55" w:name="_Toc374957920"/>
      <w:bookmarkStart w:id="56" w:name="_Toc374381862"/>
    </w:p>
    <w:p>
      <w:pPr>
        <w:pStyle w:val="72"/>
        <w:numPr>
          <w:ilvl w:val="0"/>
          <w:numId w:val="5"/>
        </w:numPr>
        <w:spacing w:before="163" w:after="163"/>
        <w:ind w:firstLine="600"/>
      </w:pPr>
      <w:bookmarkStart w:id="57" w:name="_Toc119341909"/>
      <w:r>
        <w:t>测试系统接入方式</w:t>
      </w:r>
      <w:bookmarkEnd w:id="50"/>
      <w:bookmarkEnd w:id="51"/>
      <w:bookmarkEnd w:id="52"/>
      <w:bookmarkEnd w:id="53"/>
      <w:bookmarkEnd w:id="54"/>
      <w:bookmarkEnd w:id="55"/>
      <w:bookmarkEnd w:id="56"/>
      <w:bookmarkEnd w:id="57"/>
    </w:p>
    <w:p>
      <w:pPr>
        <w:pStyle w:val="73"/>
        <w:spacing w:before="163" w:after="163"/>
        <w:ind w:firstLine="562"/>
      </w:pPr>
      <w:bookmarkStart w:id="58" w:name="_Toc119341910"/>
      <w:bookmarkStart w:id="59" w:name="_Toc416422123"/>
      <w:bookmarkStart w:id="60" w:name="_Toc376597528"/>
      <w:bookmarkStart w:id="61" w:name="_Toc374957922"/>
      <w:bookmarkStart w:id="62" w:name="_Toc374381930"/>
      <w:bookmarkStart w:id="63" w:name="_Toc375070740"/>
      <w:bookmarkStart w:id="64" w:name="_Toc376285235"/>
      <w:bookmarkStart w:id="65" w:name="_Toc374381864"/>
      <w:bookmarkStart w:id="66" w:name="_Toc375557976"/>
      <w:r>
        <w:rPr>
          <w:rFonts w:hint="eastAsia"/>
        </w:rPr>
        <w:t>（一）</w:t>
      </w:r>
      <w:r>
        <w:rPr>
          <w:sz w:val="30"/>
          <w:szCs w:val="30"/>
        </w:rPr>
        <w:t>参测</w:t>
      </w:r>
      <w:r>
        <w:rPr>
          <w:rFonts w:hint="eastAsia"/>
          <w:sz w:val="30"/>
          <w:szCs w:val="30"/>
        </w:rPr>
        <w:t>机构</w:t>
      </w:r>
      <w:r>
        <w:rPr>
          <w:sz w:val="30"/>
          <w:szCs w:val="30"/>
        </w:rPr>
        <w:t>接入深证通</w:t>
      </w:r>
      <w:bookmarkEnd w:id="58"/>
      <w:bookmarkEnd w:id="59"/>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环境线路接入深证通提供的通关测试环境，如有问题，请及时联系深证通。</w:t>
      </w:r>
    </w:p>
    <w:p>
      <w:pPr>
        <w:pStyle w:val="73"/>
        <w:widowControl w:val="0"/>
        <w:spacing w:before="163" w:after="163"/>
        <w:ind w:firstLine="562"/>
      </w:pPr>
      <w:bookmarkStart w:id="67" w:name="_Toc119341911"/>
      <w:bookmarkStart w:id="68" w:name="_Toc416422124"/>
      <w:bookmarkStart w:id="69"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67"/>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bookmarkEnd w:id="60"/>
    <w:bookmarkEnd w:id="61"/>
    <w:bookmarkEnd w:id="62"/>
    <w:bookmarkEnd w:id="63"/>
    <w:bookmarkEnd w:id="64"/>
    <w:bookmarkEnd w:id="65"/>
    <w:bookmarkEnd w:id="66"/>
    <w:bookmarkEnd w:id="68"/>
    <w:bookmarkEnd w:id="69"/>
    <w:p>
      <w:pPr>
        <w:pStyle w:val="72"/>
        <w:widowControl w:val="0"/>
        <w:spacing w:before="163" w:after="163"/>
        <w:ind w:firstLine="600"/>
      </w:pPr>
      <w:bookmarkStart w:id="70" w:name="_Toc376597530"/>
      <w:bookmarkStart w:id="71" w:name="_Toc374381932"/>
      <w:bookmarkStart w:id="72" w:name="_Toc374381866"/>
      <w:bookmarkStart w:id="73" w:name="_Toc376285237"/>
      <w:bookmarkStart w:id="74" w:name="_Toc375070742"/>
      <w:bookmarkStart w:id="75" w:name="_Toc375557978"/>
      <w:bookmarkStart w:id="76" w:name="_Toc374957924"/>
      <w:bookmarkStart w:id="77" w:name="_Toc119341912"/>
      <w:r>
        <w:rPr>
          <w:rFonts w:hint="eastAsia"/>
        </w:rPr>
        <w:t>十、</w:t>
      </w:r>
      <w:r>
        <w:t>测试要求及注意事项</w:t>
      </w:r>
      <w:bookmarkEnd w:id="70"/>
      <w:bookmarkEnd w:id="71"/>
      <w:bookmarkEnd w:id="72"/>
      <w:bookmarkEnd w:id="73"/>
      <w:bookmarkEnd w:id="74"/>
      <w:bookmarkEnd w:id="75"/>
      <w:bookmarkEnd w:id="76"/>
      <w:bookmarkEnd w:id="77"/>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 xml:space="preserve"> 各参测机构应根据</w:t>
      </w:r>
      <w:r>
        <w:rPr>
          <w:rFonts w:hint="eastAsia" w:cs="Times New Roman"/>
          <w:color w:val="000000" w:themeColor="text1"/>
          <w:sz w:val="30"/>
          <w:szCs w:val="30"/>
          <w14:textFill>
            <w14:solidFill>
              <w14:schemeClr w14:val="tx1"/>
            </w14:solidFill>
          </w14:textFill>
        </w:rPr>
        <w:t>《</w:t>
      </w:r>
      <w:r>
        <w:rPr>
          <w:rStyle w:val="104"/>
        </w:rPr>
        <w:t>交易支持平台数据接口规范</w:t>
      </w:r>
      <w:r>
        <w:rPr>
          <w:rStyle w:val="105"/>
        </w:rPr>
        <w:t>（V2.1）</w:t>
      </w:r>
      <w:r>
        <w:rPr>
          <w:rFonts w:hint="eastAsia" w:cs="Times New Roman"/>
          <w:color w:val="000000" w:themeColor="text1"/>
          <w:sz w:val="30"/>
          <w:szCs w:val="30"/>
          <w14:textFill>
            <w14:solidFill>
              <w14:schemeClr w14:val="tx1"/>
            </w14:solidFill>
          </w14:textFill>
        </w:rPr>
        <w:t>》《</w:t>
      </w:r>
      <w:r>
        <w:rPr>
          <w:rStyle w:val="104"/>
        </w:rPr>
        <w:t>北京证券交易所市场参与者技术系统变更指南之融资融券业务</w:t>
      </w:r>
      <w:r>
        <w:rPr>
          <w:rStyle w:val="105"/>
        </w:rPr>
        <w:t>（V1.1）</w:t>
      </w:r>
      <w:r>
        <w:rPr>
          <w:rFonts w:hint="eastAsia" w:cs="Times New Roman"/>
          <w:color w:val="000000" w:themeColor="text1"/>
          <w:sz w:val="30"/>
          <w:szCs w:val="30"/>
          <w14:textFill>
            <w14:solidFill>
              <w14:schemeClr w14:val="tx1"/>
            </w14:solidFill>
          </w14:textFill>
        </w:rPr>
        <w:t>》等</w:t>
      </w:r>
      <w:r>
        <w:rPr>
          <w:rFonts w:cs="Times New Roman"/>
          <w:color w:val="000000" w:themeColor="text1"/>
          <w:sz w:val="30"/>
          <w:szCs w:val="30"/>
          <w14:textFill>
            <w14:solidFill>
              <w14:schemeClr w14:val="tx1"/>
            </w14:solidFill>
          </w14:textFill>
        </w:rPr>
        <w:t>技术</w:t>
      </w:r>
      <w:r>
        <w:rPr>
          <w:rFonts w:hint="eastAsia" w:cs="Times New Roman"/>
          <w:color w:val="000000" w:themeColor="text1"/>
          <w:sz w:val="30"/>
          <w:szCs w:val="30"/>
          <w14:textFill>
            <w14:solidFill>
              <w14:schemeClr w14:val="tx1"/>
            </w14:solidFill>
          </w14:textFill>
        </w:rPr>
        <w:t>规范</w:t>
      </w:r>
      <w:r>
        <w:rPr>
          <w:rFonts w:cs="Times New Roman"/>
          <w:color w:val="000000" w:themeColor="text1"/>
          <w:sz w:val="30"/>
          <w:szCs w:val="30"/>
          <w14:textFill>
            <w14:solidFill>
              <w14:schemeClr w14:val="tx1"/>
            </w14:solidFill>
          </w14:textFill>
        </w:rPr>
        <w:t>和测试方案，认真做好技术准备和测试环境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测试工作。</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开展北交所和全国股转系统业务的</w:t>
      </w:r>
      <w:r>
        <w:rPr>
          <w:rFonts w:hint="eastAsia" w:cs="Times New Roman"/>
          <w:color w:val="000000" w:themeColor="text1"/>
          <w:sz w:val="30"/>
          <w:szCs w:val="30"/>
          <w:lang w:eastAsia="zh-CN"/>
          <w14:textFill>
            <w14:solidFill>
              <w14:schemeClr w14:val="tx1"/>
            </w14:solidFill>
          </w14:textFill>
        </w:rPr>
        <w:t>会员/主办券商</w:t>
      </w:r>
      <w:r>
        <w:rPr>
          <w:rFonts w:hint="eastAsia" w:cs="Times New Roman"/>
          <w:color w:val="000000" w:themeColor="text1"/>
          <w:sz w:val="30"/>
          <w:szCs w:val="30"/>
          <w14:textFill>
            <w14:solidFill>
              <w14:schemeClr w14:val="tx1"/>
            </w14:solidFill>
          </w14:textFill>
        </w:rPr>
        <w:t>应参加T日的验证测试，拟开展北交所融资融券业务的会员还应参加T+1日测试。提供北交所行情服务的信息商应参加测试，并反馈测试报告。</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 拟开展北交所融资融券业务的会员</w:t>
      </w:r>
      <w:r>
        <w:rPr>
          <w:rFonts w:cs="Times New Roman"/>
          <w:color w:val="000000" w:themeColor="text1"/>
          <w:sz w:val="30"/>
          <w:szCs w:val="30"/>
          <w14:textFill>
            <w14:solidFill>
              <w14:schemeClr w14:val="tx1"/>
            </w14:solidFill>
          </w14:textFill>
        </w:rPr>
        <w:t>应</w:t>
      </w:r>
      <w:r>
        <w:rPr>
          <w:rFonts w:hint="eastAsia" w:cs="Times New Roman"/>
          <w:color w:val="000000" w:themeColor="text1"/>
          <w:sz w:val="30"/>
          <w:szCs w:val="30"/>
          <w14:textFill>
            <w14:solidFill>
              <w14:schemeClr w14:val="tx1"/>
            </w14:solidFill>
          </w14:textFill>
        </w:rPr>
        <w:t>确保至少有两种交易终端（其中至少一种为非现场方式）和两种行情终端（其中至少一种为非现场方式）满足业务要求。</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在测试过程中如发现异常现象，请及时通过电话</w:t>
      </w:r>
      <w:r>
        <w:rPr>
          <w:rFonts w:hint="eastAsia"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t>10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63889800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或QQ群</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338167838</w:t>
      </w:r>
      <w:r>
        <w:rPr>
          <w:rFonts w:hint="eastAsia" w:cs="Times New Roman"/>
          <w:color w:val="000000" w:themeColor="text1"/>
          <w:sz w:val="30"/>
          <w:szCs w:val="30"/>
          <w14:textFill>
            <w14:solidFill>
              <w14:schemeClr w14:val="tx1"/>
            </w14:solidFill>
          </w14:textFill>
        </w:rPr>
        <w:t>）上报</w:t>
      </w:r>
      <w:r>
        <w:rPr>
          <w:rFonts w:cs="Times New Roman"/>
          <w:color w:val="000000" w:themeColor="text1"/>
          <w:sz w:val="30"/>
          <w:szCs w:val="30"/>
          <w14:textFill>
            <w14:solidFill>
              <w14:schemeClr w14:val="tx1"/>
            </w14:solidFill>
          </w14:textFill>
        </w:rPr>
        <w:t>。</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测试结束后，</w:t>
      </w:r>
      <w:r>
        <w:rPr>
          <w:rFonts w:hint="eastAsia" w:cs="Times New Roman"/>
          <w:color w:val="000000" w:themeColor="text1"/>
          <w:sz w:val="30"/>
          <w:szCs w:val="30"/>
          <w14:textFill>
            <w14:solidFill>
              <w14:schemeClr w14:val="tx1"/>
            </w14:solidFill>
          </w14:textFill>
        </w:rPr>
        <w:t>各</w:t>
      </w:r>
      <w:r>
        <w:rPr>
          <w:rFonts w:cs="Times New Roman"/>
          <w:color w:val="000000" w:themeColor="text1"/>
          <w:sz w:val="30"/>
          <w:szCs w:val="30"/>
          <w14:textFill>
            <w14:solidFill>
              <w14:schemeClr w14:val="tx1"/>
            </w14:solidFill>
          </w14:textFill>
        </w:rPr>
        <w:t>参测</w:t>
      </w:r>
      <w:r>
        <w:rPr>
          <w:rFonts w:hint="eastAsia" w:cs="Times New Roman"/>
          <w:color w:val="000000" w:themeColor="text1"/>
          <w:sz w:val="30"/>
          <w:szCs w:val="30"/>
          <w:lang w:eastAsia="zh-CN"/>
          <w14:textFill>
            <w14:solidFill>
              <w14:schemeClr w14:val="tx1"/>
            </w14:solidFill>
          </w14:textFill>
        </w:rPr>
        <w:t>会员/主办券商</w:t>
      </w:r>
      <w:r>
        <w:rPr>
          <w:rFonts w:hint="eastAsia" w:cs="Times New Roman"/>
          <w:color w:val="000000" w:themeColor="text1"/>
          <w:sz w:val="30"/>
          <w:szCs w:val="30"/>
          <w14:textFill>
            <w14:solidFill>
              <w14:schemeClr w14:val="tx1"/>
            </w14:solidFill>
          </w14:textFill>
        </w:rPr>
        <w:t>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于</w:t>
      </w:r>
      <w:r>
        <w:rPr>
          <w:rFonts w:cs="Times New Roman"/>
          <w:color w:val="000000" w:themeColor="text1"/>
          <w:sz w:val="30"/>
          <w:szCs w:val="30"/>
          <w14:textFill>
            <w14:solidFill>
              <w14:schemeClr w14:val="tx1"/>
            </w14:solidFill>
          </w14:textFill>
        </w:rPr>
        <w:t>20</w:t>
      </w:r>
      <w:r>
        <w:rPr>
          <w:rFonts w:hint="eastAsia" w:cs="Times New Roman"/>
          <w:color w:val="000000" w:themeColor="text1"/>
          <w:sz w:val="30"/>
          <w:szCs w:val="30"/>
          <w14:textFill>
            <w14:solidFill>
              <w14:schemeClr w14:val="tx1"/>
            </w14:solidFill>
          </w14:textFill>
        </w:rPr>
        <w:t>22</w:t>
      </w:r>
      <w:r>
        <w:rPr>
          <w:rFonts w:cs="Times New Roman"/>
          <w:color w:val="000000" w:themeColor="text1"/>
          <w:sz w:val="30"/>
          <w:szCs w:val="30"/>
          <w14:textFill>
            <w14:solidFill>
              <w14:schemeClr w14:val="tx1"/>
            </w14:solidFill>
          </w14:textFill>
        </w:rPr>
        <w:t>年12</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17</w:t>
      </w:r>
      <w:r>
        <w:rPr>
          <w:rFonts w:hint="eastAsia" w:cs="Times New Roman"/>
          <w:color w:val="000000" w:themeColor="text1"/>
          <w:sz w:val="30"/>
          <w:szCs w:val="30"/>
          <w14:textFill>
            <w14:solidFill>
              <w14:schemeClr w14:val="tx1"/>
            </w14:solidFill>
          </w14:textFill>
        </w:rPr>
        <w:t>日2</w:t>
      </w:r>
      <w:r>
        <w:rPr>
          <w:rFonts w:cs="Times New Roman"/>
          <w:color w:val="000000" w:themeColor="text1"/>
          <w:sz w:val="30"/>
          <w:szCs w:val="30"/>
          <w14:textFill>
            <w14:solidFill>
              <w14:schemeClr w14:val="tx1"/>
            </w14:solidFill>
          </w14:textFill>
        </w:rPr>
        <w:t>0:00之前通过BPM提交测试报告（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参测信息商应按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ascii="仿宋" w:hAnsi="仿宋" w:cs="Times New Roman"/>
          <w:color w:val="000000" w:themeColor="text1"/>
          <w:sz w:val="30"/>
          <w:szCs w:val="30"/>
          <w14:textFill>
            <w14:solidFill>
              <w14:schemeClr w14:val="tx1"/>
            </w14:solidFill>
          </w14:textFill>
        </w:rPr>
        <w:t>机构</w:t>
      </w:r>
      <w:r>
        <w:rPr>
          <w:rFonts w:ascii="仿宋" w:hAnsi="仿宋" w:cs="Times New Roman"/>
          <w:color w:val="000000" w:themeColor="text1"/>
          <w:sz w:val="30"/>
          <w:szCs w:val="30"/>
          <w14:textFill>
            <w14:solidFill>
              <w14:schemeClr w14:val="tx1"/>
            </w14:solidFill>
          </w14:textFill>
        </w:rPr>
        <w:t>名称+</w:t>
      </w:r>
      <w:r>
        <w:rPr>
          <w:rFonts w:hint="eastAsia" w:ascii="仿宋" w:hAnsi="仿宋" w:cs="Times New Roman"/>
          <w:color w:val="000000" w:themeColor="text1"/>
          <w:sz w:val="30"/>
          <w:szCs w:val="30"/>
          <w14:textFill>
            <w14:solidFill>
              <w14:schemeClr w14:val="tx1"/>
            </w14:solidFill>
          </w14:textFill>
        </w:rPr>
        <w:t>融资融券业务</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测试反馈</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6．北交所履行上线决策后，请各参测机构根据北交所的通关测试结果做好技术系统数据恢复和验证工作，并于2022年1</w:t>
      </w: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日（周日）上午1</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:00前反馈技术系统恢复情况报告（无须盖章）。各</w:t>
      </w:r>
      <w:r>
        <w:rPr>
          <w:rFonts w:hint="eastAsia" w:cs="Times New Roman"/>
          <w:color w:val="000000" w:themeColor="text1"/>
          <w:sz w:val="30"/>
          <w:szCs w:val="30"/>
          <w:lang w:val="en" w:eastAsia="zh-CN"/>
          <w14:textFill>
            <w14:solidFill>
              <w14:schemeClr w14:val="tx1"/>
            </w14:solidFill>
          </w14:textFill>
        </w:rPr>
        <w:t>会员/主办券商</w:t>
      </w:r>
      <w:r>
        <w:rPr>
          <w:rFonts w:hint="eastAsia" w:cs="Times New Roman"/>
          <w:color w:val="000000" w:themeColor="text1"/>
          <w:sz w:val="30"/>
          <w:szCs w:val="30"/>
          <w14:textFill>
            <w14:solidFill>
              <w14:schemeClr w14:val="tx1"/>
            </w14:solidFill>
          </w14:textFill>
        </w:rPr>
        <w:t>通过BPM反馈，信息商通过电子邮件反馈至techservice@neeq.com.cn。</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通关测试的数据，包括但不限于交易单元、交易网关等，仅为模拟测试使用，不能作为生产环境任何交易、非交易及开户等业务的依据，请各参测机构做好生产环境保护。</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2"/>
        <w:spacing w:before="163" w:after="163"/>
        <w:ind w:firstLine="600"/>
      </w:pPr>
      <w:bookmarkStart w:id="78" w:name="_Toc375557981"/>
      <w:bookmarkStart w:id="79" w:name="_Toc374381935"/>
      <w:bookmarkStart w:id="80" w:name="_Toc376285240"/>
      <w:bookmarkStart w:id="81" w:name="_Toc374957927"/>
      <w:bookmarkStart w:id="82" w:name="_Toc376597533"/>
      <w:bookmarkStart w:id="83" w:name="_Toc119341913"/>
      <w:bookmarkStart w:id="84" w:name="_Toc374381869"/>
      <w:bookmarkStart w:id="85" w:name="_Toc375070745"/>
      <w:r>
        <w:t>十</w:t>
      </w:r>
      <w:r>
        <w:rPr>
          <w:rFonts w:hint="eastAsia"/>
        </w:rPr>
        <w:t>一、</w:t>
      </w:r>
      <w:r>
        <w:t>联系方式</w:t>
      </w:r>
      <w:bookmarkEnd w:id="78"/>
      <w:bookmarkEnd w:id="79"/>
      <w:bookmarkEnd w:id="80"/>
      <w:bookmarkEnd w:id="81"/>
      <w:bookmarkEnd w:id="82"/>
      <w:bookmarkEnd w:id="83"/>
      <w:bookmarkEnd w:id="84"/>
      <w:bookmarkEnd w:id="8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测试联系单位</w:t>
            </w:r>
          </w:p>
        </w:tc>
        <w:tc>
          <w:tcPr>
            <w:tcW w:w="29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全国股转公司/北京</w:t>
            </w:r>
            <w:r>
              <w:rPr>
                <w:rFonts w:cs="Times New Roman"/>
                <w:color w:val="000000" w:themeColor="text1"/>
                <w:szCs w:val="24"/>
                <w14:textFill>
                  <w14:solidFill>
                    <w14:schemeClr w14:val="tx1"/>
                  </w14:solidFill>
                </w14:textFill>
              </w:rPr>
              <w:t>证券交易所</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北交所两融测试群：</w:t>
            </w:r>
            <w:r>
              <w:rPr>
                <w:rFonts w:cs="Times New Roman"/>
                <w:color w:val="000000" w:themeColor="text1"/>
                <w:szCs w:val="24"/>
                <w14:textFill>
                  <w14:solidFill>
                    <w14:schemeClr w14:val="tx1"/>
                  </w14:solidFill>
                </w14:textFill>
              </w:rPr>
              <w:t>859780240</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w:t>
      </w:r>
      <w:r>
        <w:rPr>
          <w:rFonts w:ascii="仿宋" w:hAnsi="仿宋" w:cs="Times New Roman"/>
          <w:color w:val="000000" w:themeColor="text1"/>
          <w:sz w:val="30"/>
          <w:szCs w:val="30"/>
          <w14:textFill>
            <w14:solidFill>
              <w14:schemeClr w14:val="tx1"/>
            </w14:solidFill>
          </w14:textFill>
        </w:rPr>
        <w:t>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bookmarkEnd w:id="9"/>
      <w:r>
        <w:rPr>
          <w:rFonts w:hint="eastAsia" w:ascii="仿宋" w:hAnsi="仿宋" w:cs="Times New Roman"/>
          <w:color w:val="000000" w:themeColor="text1"/>
          <w:sz w:val="30"/>
          <w:szCs w:val="30"/>
          <w14:textFill>
            <w14:solidFill>
              <w14:schemeClr w14:val="tx1"/>
            </w14:solidFill>
          </w14:textFill>
        </w:rPr>
        <w:t>二</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十二</w:t>
      </w:r>
      <w:r>
        <w:rPr>
          <w:rFonts w:ascii="仿宋" w:hAnsi="仿宋" w:cs="Times New Roman"/>
          <w:color w:val="000000" w:themeColor="text1"/>
          <w:sz w:val="30"/>
          <w:szCs w:val="30"/>
          <w14:textFill>
            <w14:solidFill>
              <w14:schemeClr w14:val="tx1"/>
            </w14:solidFill>
          </w14:textFill>
        </w:rPr>
        <w:t>月</w:t>
      </w:r>
    </w:p>
    <w:sectPr>
      <w:footerReference r:id="rId11" w:type="default"/>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roma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FangSong">
    <w:panose1 w:val="02010609060101010101"/>
    <w:charset w:val="86"/>
    <w:family w:val="roman"/>
    <w:pitch w:val="default"/>
    <w:sig w:usb0="800002BF" w:usb1="38CF7CFA" w:usb2="00000016" w:usb3="00000000" w:csb0="00040001" w:csb1="00000000"/>
  </w:font>
  <w:font w:name="TimesNewRomanPSMT">
    <w:altName w:val="DejaVu Sans"/>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lang w:val="en-US"/>
      </w:rPr>
    </w:lvl>
  </w:abstractNum>
  <w:abstractNum w:abstractNumId="1">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12061"/>
    <w:rsid w:val="0001604C"/>
    <w:rsid w:val="000250AA"/>
    <w:rsid w:val="00025609"/>
    <w:rsid w:val="000269C3"/>
    <w:rsid w:val="00026CF9"/>
    <w:rsid w:val="00031C01"/>
    <w:rsid w:val="0003224B"/>
    <w:rsid w:val="0003465B"/>
    <w:rsid w:val="0003534D"/>
    <w:rsid w:val="000356E8"/>
    <w:rsid w:val="000368C1"/>
    <w:rsid w:val="00041075"/>
    <w:rsid w:val="0004235A"/>
    <w:rsid w:val="000445AB"/>
    <w:rsid w:val="00044E9E"/>
    <w:rsid w:val="00046C0A"/>
    <w:rsid w:val="00052298"/>
    <w:rsid w:val="0005338B"/>
    <w:rsid w:val="000541B6"/>
    <w:rsid w:val="000549C2"/>
    <w:rsid w:val="00062DB2"/>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F6D"/>
    <w:rsid w:val="000B7ED7"/>
    <w:rsid w:val="000C088E"/>
    <w:rsid w:val="000C1067"/>
    <w:rsid w:val="000C394B"/>
    <w:rsid w:val="000D0227"/>
    <w:rsid w:val="000D1438"/>
    <w:rsid w:val="000D1696"/>
    <w:rsid w:val="000D36DC"/>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30226"/>
    <w:rsid w:val="0013179F"/>
    <w:rsid w:val="001368ED"/>
    <w:rsid w:val="00141196"/>
    <w:rsid w:val="001450C4"/>
    <w:rsid w:val="0014549F"/>
    <w:rsid w:val="00145C4E"/>
    <w:rsid w:val="0014719A"/>
    <w:rsid w:val="00151156"/>
    <w:rsid w:val="001538F9"/>
    <w:rsid w:val="0016090A"/>
    <w:rsid w:val="00161C45"/>
    <w:rsid w:val="001634A3"/>
    <w:rsid w:val="001703D1"/>
    <w:rsid w:val="00172BC7"/>
    <w:rsid w:val="001829AE"/>
    <w:rsid w:val="00185284"/>
    <w:rsid w:val="00185A24"/>
    <w:rsid w:val="00185D53"/>
    <w:rsid w:val="00190447"/>
    <w:rsid w:val="00190B52"/>
    <w:rsid w:val="00193B89"/>
    <w:rsid w:val="00193EB0"/>
    <w:rsid w:val="00193ECC"/>
    <w:rsid w:val="001949B0"/>
    <w:rsid w:val="0019638C"/>
    <w:rsid w:val="0019725F"/>
    <w:rsid w:val="001978C8"/>
    <w:rsid w:val="00197FD0"/>
    <w:rsid w:val="001A2019"/>
    <w:rsid w:val="001A6F08"/>
    <w:rsid w:val="001A74B9"/>
    <w:rsid w:val="001A7EE0"/>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7AC2"/>
    <w:rsid w:val="002506FC"/>
    <w:rsid w:val="00251CFA"/>
    <w:rsid w:val="00253869"/>
    <w:rsid w:val="00253C9D"/>
    <w:rsid w:val="002579A2"/>
    <w:rsid w:val="00263CF8"/>
    <w:rsid w:val="00265503"/>
    <w:rsid w:val="0026626B"/>
    <w:rsid w:val="00266E71"/>
    <w:rsid w:val="00270B43"/>
    <w:rsid w:val="002720F9"/>
    <w:rsid w:val="00273413"/>
    <w:rsid w:val="00273CD5"/>
    <w:rsid w:val="0027405D"/>
    <w:rsid w:val="00274CBA"/>
    <w:rsid w:val="00275424"/>
    <w:rsid w:val="002765D8"/>
    <w:rsid w:val="00280956"/>
    <w:rsid w:val="00282E3C"/>
    <w:rsid w:val="00283DB2"/>
    <w:rsid w:val="00285023"/>
    <w:rsid w:val="0029138B"/>
    <w:rsid w:val="00291F95"/>
    <w:rsid w:val="00297B1D"/>
    <w:rsid w:val="002A1772"/>
    <w:rsid w:val="002A35AC"/>
    <w:rsid w:val="002A72F7"/>
    <w:rsid w:val="002B3568"/>
    <w:rsid w:val="002B42AA"/>
    <w:rsid w:val="002C0F70"/>
    <w:rsid w:val="002C119E"/>
    <w:rsid w:val="002C1D49"/>
    <w:rsid w:val="002C6B8C"/>
    <w:rsid w:val="002C7089"/>
    <w:rsid w:val="002D3C3B"/>
    <w:rsid w:val="002D41A0"/>
    <w:rsid w:val="002D797A"/>
    <w:rsid w:val="002E1F8D"/>
    <w:rsid w:val="002E33C4"/>
    <w:rsid w:val="002E3876"/>
    <w:rsid w:val="002E7D23"/>
    <w:rsid w:val="002F0A5F"/>
    <w:rsid w:val="002F2E7D"/>
    <w:rsid w:val="002F3286"/>
    <w:rsid w:val="002F427D"/>
    <w:rsid w:val="002F4EF4"/>
    <w:rsid w:val="00300C20"/>
    <w:rsid w:val="0030185C"/>
    <w:rsid w:val="003036BD"/>
    <w:rsid w:val="00304788"/>
    <w:rsid w:val="00306BDB"/>
    <w:rsid w:val="0031011A"/>
    <w:rsid w:val="003116A5"/>
    <w:rsid w:val="00311CE6"/>
    <w:rsid w:val="0031230C"/>
    <w:rsid w:val="003129E7"/>
    <w:rsid w:val="003138C1"/>
    <w:rsid w:val="003140DD"/>
    <w:rsid w:val="00314687"/>
    <w:rsid w:val="00320EEE"/>
    <w:rsid w:val="003217D4"/>
    <w:rsid w:val="003232E1"/>
    <w:rsid w:val="00325A9D"/>
    <w:rsid w:val="003315C8"/>
    <w:rsid w:val="0033385C"/>
    <w:rsid w:val="00335E68"/>
    <w:rsid w:val="0033640B"/>
    <w:rsid w:val="00337780"/>
    <w:rsid w:val="00340164"/>
    <w:rsid w:val="003435C8"/>
    <w:rsid w:val="0034490A"/>
    <w:rsid w:val="00345A5A"/>
    <w:rsid w:val="0034606A"/>
    <w:rsid w:val="00346B3E"/>
    <w:rsid w:val="00346E7A"/>
    <w:rsid w:val="0035311A"/>
    <w:rsid w:val="00356611"/>
    <w:rsid w:val="00357376"/>
    <w:rsid w:val="00357A3C"/>
    <w:rsid w:val="00361312"/>
    <w:rsid w:val="00362F19"/>
    <w:rsid w:val="003642E5"/>
    <w:rsid w:val="00370795"/>
    <w:rsid w:val="003735FB"/>
    <w:rsid w:val="00374DAD"/>
    <w:rsid w:val="0037559E"/>
    <w:rsid w:val="00376C12"/>
    <w:rsid w:val="003819B6"/>
    <w:rsid w:val="003820BC"/>
    <w:rsid w:val="00385178"/>
    <w:rsid w:val="0038633B"/>
    <w:rsid w:val="00386E87"/>
    <w:rsid w:val="00387E17"/>
    <w:rsid w:val="003930B1"/>
    <w:rsid w:val="0039561D"/>
    <w:rsid w:val="00395DEB"/>
    <w:rsid w:val="003974BA"/>
    <w:rsid w:val="003974D4"/>
    <w:rsid w:val="003A18ED"/>
    <w:rsid w:val="003A1C7E"/>
    <w:rsid w:val="003A2550"/>
    <w:rsid w:val="003A3C96"/>
    <w:rsid w:val="003A3D7E"/>
    <w:rsid w:val="003A708A"/>
    <w:rsid w:val="003B03DE"/>
    <w:rsid w:val="003B0724"/>
    <w:rsid w:val="003B09AE"/>
    <w:rsid w:val="003B3E37"/>
    <w:rsid w:val="003B3F69"/>
    <w:rsid w:val="003C23AB"/>
    <w:rsid w:val="003C5F2F"/>
    <w:rsid w:val="003C6782"/>
    <w:rsid w:val="003D0664"/>
    <w:rsid w:val="003D18FB"/>
    <w:rsid w:val="003D3F42"/>
    <w:rsid w:val="003E39AD"/>
    <w:rsid w:val="003E424C"/>
    <w:rsid w:val="003E43F2"/>
    <w:rsid w:val="003E4A8B"/>
    <w:rsid w:val="003E551C"/>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4BE2"/>
    <w:rsid w:val="005754DD"/>
    <w:rsid w:val="00576762"/>
    <w:rsid w:val="00580C9D"/>
    <w:rsid w:val="00581FF8"/>
    <w:rsid w:val="005846AD"/>
    <w:rsid w:val="00594EDE"/>
    <w:rsid w:val="0059595E"/>
    <w:rsid w:val="005A0757"/>
    <w:rsid w:val="005A36F3"/>
    <w:rsid w:val="005A4712"/>
    <w:rsid w:val="005B076F"/>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27B7"/>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06FB"/>
    <w:rsid w:val="006338D2"/>
    <w:rsid w:val="00635142"/>
    <w:rsid w:val="00641E34"/>
    <w:rsid w:val="00642F33"/>
    <w:rsid w:val="00644998"/>
    <w:rsid w:val="00646182"/>
    <w:rsid w:val="006502F1"/>
    <w:rsid w:val="00654353"/>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141F"/>
    <w:rsid w:val="0075174B"/>
    <w:rsid w:val="00751A75"/>
    <w:rsid w:val="007526FE"/>
    <w:rsid w:val="00753120"/>
    <w:rsid w:val="007544C5"/>
    <w:rsid w:val="00755F4B"/>
    <w:rsid w:val="00767F1F"/>
    <w:rsid w:val="00772A86"/>
    <w:rsid w:val="00774158"/>
    <w:rsid w:val="00777776"/>
    <w:rsid w:val="00784BA1"/>
    <w:rsid w:val="00784C5D"/>
    <w:rsid w:val="00785FE5"/>
    <w:rsid w:val="00786A27"/>
    <w:rsid w:val="00786D46"/>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D018C"/>
    <w:rsid w:val="007D2385"/>
    <w:rsid w:val="007D49ED"/>
    <w:rsid w:val="007D5E12"/>
    <w:rsid w:val="007D6CBD"/>
    <w:rsid w:val="007D7BCF"/>
    <w:rsid w:val="007E09E4"/>
    <w:rsid w:val="007E328F"/>
    <w:rsid w:val="007E508E"/>
    <w:rsid w:val="007E783B"/>
    <w:rsid w:val="007F09C7"/>
    <w:rsid w:val="007F11CA"/>
    <w:rsid w:val="007F26C9"/>
    <w:rsid w:val="007F42B5"/>
    <w:rsid w:val="007F6D47"/>
    <w:rsid w:val="0080318E"/>
    <w:rsid w:val="00803EB2"/>
    <w:rsid w:val="00806AD8"/>
    <w:rsid w:val="0080724C"/>
    <w:rsid w:val="00810C54"/>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7045C"/>
    <w:rsid w:val="0087185D"/>
    <w:rsid w:val="00875076"/>
    <w:rsid w:val="00875624"/>
    <w:rsid w:val="00876889"/>
    <w:rsid w:val="0087728A"/>
    <w:rsid w:val="00880469"/>
    <w:rsid w:val="00884977"/>
    <w:rsid w:val="00885D05"/>
    <w:rsid w:val="0088671C"/>
    <w:rsid w:val="00891EE3"/>
    <w:rsid w:val="00892181"/>
    <w:rsid w:val="00893474"/>
    <w:rsid w:val="0089392E"/>
    <w:rsid w:val="008A5E8B"/>
    <w:rsid w:val="008A6936"/>
    <w:rsid w:val="008B0C29"/>
    <w:rsid w:val="008B193B"/>
    <w:rsid w:val="008B1D6C"/>
    <w:rsid w:val="008B4B2F"/>
    <w:rsid w:val="008B543F"/>
    <w:rsid w:val="008C02F4"/>
    <w:rsid w:val="008C098C"/>
    <w:rsid w:val="008C28DF"/>
    <w:rsid w:val="008C3446"/>
    <w:rsid w:val="008C61DE"/>
    <w:rsid w:val="008C6297"/>
    <w:rsid w:val="008C66AE"/>
    <w:rsid w:val="008D189A"/>
    <w:rsid w:val="008D1EBB"/>
    <w:rsid w:val="008E0050"/>
    <w:rsid w:val="008E265D"/>
    <w:rsid w:val="008E301B"/>
    <w:rsid w:val="008E4048"/>
    <w:rsid w:val="008F6775"/>
    <w:rsid w:val="009003E1"/>
    <w:rsid w:val="00902A1E"/>
    <w:rsid w:val="00903270"/>
    <w:rsid w:val="00903B6A"/>
    <w:rsid w:val="00906DBF"/>
    <w:rsid w:val="00912987"/>
    <w:rsid w:val="00912AA4"/>
    <w:rsid w:val="00913CCA"/>
    <w:rsid w:val="00914917"/>
    <w:rsid w:val="00922895"/>
    <w:rsid w:val="00923BED"/>
    <w:rsid w:val="00923D02"/>
    <w:rsid w:val="00925E3D"/>
    <w:rsid w:val="00933037"/>
    <w:rsid w:val="0093438C"/>
    <w:rsid w:val="009348C2"/>
    <w:rsid w:val="009402ED"/>
    <w:rsid w:val="0094370A"/>
    <w:rsid w:val="00943B82"/>
    <w:rsid w:val="0094598F"/>
    <w:rsid w:val="0094624F"/>
    <w:rsid w:val="009504F6"/>
    <w:rsid w:val="00952067"/>
    <w:rsid w:val="00952634"/>
    <w:rsid w:val="00952F8D"/>
    <w:rsid w:val="009541FF"/>
    <w:rsid w:val="009546DB"/>
    <w:rsid w:val="00956537"/>
    <w:rsid w:val="00956A92"/>
    <w:rsid w:val="00956F89"/>
    <w:rsid w:val="00962A00"/>
    <w:rsid w:val="00965CFD"/>
    <w:rsid w:val="00965EE3"/>
    <w:rsid w:val="00972A4B"/>
    <w:rsid w:val="00976149"/>
    <w:rsid w:val="00981237"/>
    <w:rsid w:val="00986D1E"/>
    <w:rsid w:val="0099075F"/>
    <w:rsid w:val="00992D72"/>
    <w:rsid w:val="00994B66"/>
    <w:rsid w:val="00997599"/>
    <w:rsid w:val="00997DD9"/>
    <w:rsid w:val="009A20F1"/>
    <w:rsid w:val="009A29A6"/>
    <w:rsid w:val="009A2DBB"/>
    <w:rsid w:val="009A6A38"/>
    <w:rsid w:val="009B1E79"/>
    <w:rsid w:val="009B239A"/>
    <w:rsid w:val="009B50A8"/>
    <w:rsid w:val="009B5122"/>
    <w:rsid w:val="009B776B"/>
    <w:rsid w:val="009C1BCE"/>
    <w:rsid w:val="009C4442"/>
    <w:rsid w:val="009C68F6"/>
    <w:rsid w:val="009D08E4"/>
    <w:rsid w:val="009D0A20"/>
    <w:rsid w:val="009D0C8F"/>
    <w:rsid w:val="009D0E44"/>
    <w:rsid w:val="009D1606"/>
    <w:rsid w:val="009D20B5"/>
    <w:rsid w:val="009D4937"/>
    <w:rsid w:val="009D55D5"/>
    <w:rsid w:val="009D650D"/>
    <w:rsid w:val="009D7358"/>
    <w:rsid w:val="009E0A3E"/>
    <w:rsid w:val="009E173C"/>
    <w:rsid w:val="009E21EF"/>
    <w:rsid w:val="009E235E"/>
    <w:rsid w:val="009E586F"/>
    <w:rsid w:val="009E5A45"/>
    <w:rsid w:val="009F19B7"/>
    <w:rsid w:val="009F2FF0"/>
    <w:rsid w:val="009F42A0"/>
    <w:rsid w:val="009F5D12"/>
    <w:rsid w:val="00A001E6"/>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5B13"/>
    <w:rsid w:val="00A57358"/>
    <w:rsid w:val="00A57DD5"/>
    <w:rsid w:val="00A61174"/>
    <w:rsid w:val="00A61FBC"/>
    <w:rsid w:val="00A66D3D"/>
    <w:rsid w:val="00A67885"/>
    <w:rsid w:val="00A738B6"/>
    <w:rsid w:val="00A7532A"/>
    <w:rsid w:val="00A760AA"/>
    <w:rsid w:val="00A76B80"/>
    <w:rsid w:val="00A826A8"/>
    <w:rsid w:val="00A93F52"/>
    <w:rsid w:val="00A94575"/>
    <w:rsid w:val="00A96DF3"/>
    <w:rsid w:val="00A97679"/>
    <w:rsid w:val="00AA2208"/>
    <w:rsid w:val="00AA571A"/>
    <w:rsid w:val="00AB1922"/>
    <w:rsid w:val="00AB2CB2"/>
    <w:rsid w:val="00AB71D0"/>
    <w:rsid w:val="00AB7C67"/>
    <w:rsid w:val="00AC42F9"/>
    <w:rsid w:val="00AC6475"/>
    <w:rsid w:val="00AD16F8"/>
    <w:rsid w:val="00AD1D0F"/>
    <w:rsid w:val="00AD372B"/>
    <w:rsid w:val="00AD3E28"/>
    <w:rsid w:val="00AD7FCE"/>
    <w:rsid w:val="00AE068D"/>
    <w:rsid w:val="00AE3376"/>
    <w:rsid w:val="00AE4E81"/>
    <w:rsid w:val="00AE5D76"/>
    <w:rsid w:val="00AF01DE"/>
    <w:rsid w:val="00AF1709"/>
    <w:rsid w:val="00AF37CC"/>
    <w:rsid w:val="00AF7D4C"/>
    <w:rsid w:val="00B018EC"/>
    <w:rsid w:val="00B026CA"/>
    <w:rsid w:val="00B03859"/>
    <w:rsid w:val="00B04645"/>
    <w:rsid w:val="00B102DC"/>
    <w:rsid w:val="00B10EA6"/>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51370"/>
    <w:rsid w:val="00B52BB7"/>
    <w:rsid w:val="00B54F2F"/>
    <w:rsid w:val="00B57D40"/>
    <w:rsid w:val="00B61037"/>
    <w:rsid w:val="00B62B0E"/>
    <w:rsid w:val="00B633F0"/>
    <w:rsid w:val="00B66359"/>
    <w:rsid w:val="00B674AC"/>
    <w:rsid w:val="00B7792D"/>
    <w:rsid w:val="00B828F3"/>
    <w:rsid w:val="00B86908"/>
    <w:rsid w:val="00B92C02"/>
    <w:rsid w:val="00B93041"/>
    <w:rsid w:val="00BA01EB"/>
    <w:rsid w:val="00BA0B30"/>
    <w:rsid w:val="00BA268A"/>
    <w:rsid w:val="00BA59C2"/>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D34F4"/>
    <w:rsid w:val="00CD3ADA"/>
    <w:rsid w:val="00CD3B46"/>
    <w:rsid w:val="00CD4258"/>
    <w:rsid w:val="00CD52C1"/>
    <w:rsid w:val="00CE4E6F"/>
    <w:rsid w:val="00CE58BF"/>
    <w:rsid w:val="00CE621D"/>
    <w:rsid w:val="00CE7308"/>
    <w:rsid w:val="00CF023C"/>
    <w:rsid w:val="00CF1607"/>
    <w:rsid w:val="00CF3008"/>
    <w:rsid w:val="00CF46B7"/>
    <w:rsid w:val="00CF47DE"/>
    <w:rsid w:val="00CF523A"/>
    <w:rsid w:val="00CF54E4"/>
    <w:rsid w:val="00CF56B2"/>
    <w:rsid w:val="00D00542"/>
    <w:rsid w:val="00D0254E"/>
    <w:rsid w:val="00D050DC"/>
    <w:rsid w:val="00D06919"/>
    <w:rsid w:val="00D07BA5"/>
    <w:rsid w:val="00D11549"/>
    <w:rsid w:val="00D11553"/>
    <w:rsid w:val="00D135AB"/>
    <w:rsid w:val="00D14351"/>
    <w:rsid w:val="00D15122"/>
    <w:rsid w:val="00D2039E"/>
    <w:rsid w:val="00D21029"/>
    <w:rsid w:val="00D24774"/>
    <w:rsid w:val="00D26E2E"/>
    <w:rsid w:val="00D304CF"/>
    <w:rsid w:val="00D3138A"/>
    <w:rsid w:val="00D327D8"/>
    <w:rsid w:val="00D33AE8"/>
    <w:rsid w:val="00D36B25"/>
    <w:rsid w:val="00D36C17"/>
    <w:rsid w:val="00D37375"/>
    <w:rsid w:val="00D37A4D"/>
    <w:rsid w:val="00D411D5"/>
    <w:rsid w:val="00D41F50"/>
    <w:rsid w:val="00D47770"/>
    <w:rsid w:val="00D50B84"/>
    <w:rsid w:val="00D53764"/>
    <w:rsid w:val="00D568B5"/>
    <w:rsid w:val="00D6173E"/>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5075"/>
    <w:rsid w:val="00DA6588"/>
    <w:rsid w:val="00DA71AA"/>
    <w:rsid w:val="00DB116B"/>
    <w:rsid w:val="00DB2FF2"/>
    <w:rsid w:val="00DB3F07"/>
    <w:rsid w:val="00DB64C2"/>
    <w:rsid w:val="00DB7F60"/>
    <w:rsid w:val="00DC3134"/>
    <w:rsid w:val="00DC6D87"/>
    <w:rsid w:val="00DC7E69"/>
    <w:rsid w:val="00DD511B"/>
    <w:rsid w:val="00DD5FCD"/>
    <w:rsid w:val="00DD727F"/>
    <w:rsid w:val="00DD7745"/>
    <w:rsid w:val="00DE050F"/>
    <w:rsid w:val="00DE1310"/>
    <w:rsid w:val="00DE20B1"/>
    <w:rsid w:val="00DE3C58"/>
    <w:rsid w:val="00DF0DD4"/>
    <w:rsid w:val="00DF28D8"/>
    <w:rsid w:val="00DF5FDC"/>
    <w:rsid w:val="00DF6193"/>
    <w:rsid w:val="00DF6C4C"/>
    <w:rsid w:val="00DF6D2F"/>
    <w:rsid w:val="00E0292B"/>
    <w:rsid w:val="00E077E0"/>
    <w:rsid w:val="00E07EC5"/>
    <w:rsid w:val="00E10904"/>
    <w:rsid w:val="00E13D53"/>
    <w:rsid w:val="00E14A59"/>
    <w:rsid w:val="00E16FD3"/>
    <w:rsid w:val="00E22194"/>
    <w:rsid w:val="00E22716"/>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107B"/>
    <w:rsid w:val="00E81942"/>
    <w:rsid w:val="00E82B74"/>
    <w:rsid w:val="00E8498D"/>
    <w:rsid w:val="00E86C20"/>
    <w:rsid w:val="00E92CDB"/>
    <w:rsid w:val="00E95E00"/>
    <w:rsid w:val="00EA1D18"/>
    <w:rsid w:val="00EA210D"/>
    <w:rsid w:val="00EA3490"/>
    <w:rsid w:val="00EA53C5"/>
    <w:rsid w:val="00EA5468"/>
    <w:rsid w:val="00EA67C1"/>
    <w:rsid w:val="00EB08C3"/>
    <w:rsid w:val="00EB0A7E"/>
    <w:rsid w:val="00EB28E7"/>
    <w:rsid w:val="00EB498D"/>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6B9E"/>
    <w:rsid w:val="00F10199"/>
    <w:rsid w:val="00F10A6C"/>
    <w:rsid w:val="00F11617"/>
    <w:rsid w:val="00F12F25"/>
    <w:rsid w:val="00F14B77"/>
    <w:rsid w:val="00F15E4B"/>
    <w:rsid w:val="00F1638A"/>
    <w:rsid w:val="00F178F8"/>
    <w:rsid w:val="00F17FC4"/>
    <w:rsid w:val="00F22D08"/>
    <w:rsid w:val="00F240E1"/>
    <w:rsid w:val="00F24F0B"/>
    <w:rsid w:val="00F30CDA"/>
    <w:rsid w:val="00F35EFB"/>
    <w:rsid w:val="00F425F6"/>
    <w:rsid w:val="00F42707"/>
    <w:rsid w:val="00F43740"/>
    <w:rsid w:val="00F555FB"/>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E19750B"/>
    <w:rsid w:val="2ED8407A"/>
    <w:rsid w:val="32E60A1F"/>
    <w:rsid w:val="373B04F2"/>
    <w:rsid w:val="38675A43"/>
    <w:rsid w:val="39965EB4"/>
    <w:rsid w:val="39CD7B28"/>
    <w:rsid w:val="39E66E3B"/>
    <w:rsid w:val="3A414072"/>
    <w:rsid w:val="3B3F5BFA"/>
    <w:rsid w:val="3B5D6616"/>
    <w:rsid w:val="3B90705F"/>
    <w:rsid w:val="3BB56AC5"/>
    <w:rsid w:val="3CC05DFB"/>
    <w:rsid w:val="3CC130FB"/>
    <w:rsid w:val="3D433A82"/>
    <w:rsid w:val="3EB17BB1"/>
    <w:rsid w:val="3ECBDB4B"/>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522D1654"/>
    <w:rsid w:val="52DC2732"/>
    <w:rsid w:val="54866DF9"/>
    <w:rsid w:val="55683C90"/>
    <w:rsid w:val="560C77D2"/>
    <w:rsid w:val="56907AD8"/>
    <w:rsid w:val="57F624E8"/>
    <w:rsid w:val="59396B30"/>
    <w:rsid w:val="5A105AE3"/>
    <w:rsid w:val="5AD25B2D"/>
    <w:rsid w:val="5C1271C4"/>
    <w:rsid w:val="5E655CD1"/>
    <w:rsid w:val="5E9345EC"/>
    <w:rsid w:val="5F1A4D0E"/>
    <w:rsid w:val="5F260774"/>
    <w:rsid w:val="5FA02DB5"/>
    <w:rsid w:val="60455DBA"/>
    <w:rsid w:val="617D396E"/>
    <w:rsid w:val="61B962B6"/>
    <w:rsid w:val="62F35CA0"/>
    <w:rsid w:val="65D60872"/>
    <w:rsid w:val="65E6501A"/>
    <w:rsid w:val="663F14FE"/>
    <w:rsid w:val="66742F55"/>
    <w:rsid w:val="66A24A95"/>
    <w:rsid w:val="672901E4"/>
    <w:rsid w:val="676F2E36"/>
    <w:rsid w:val="67E0517D"/>
    <w:rsid w:val="69385A69"/>
    <w:rsid w:val="69977CA6"/>
    <w:rsid w:val="6AC0514F"/>
    <w:rsid w:val="6B5E2426"/>
    <w:rsid w:val="6BDB0007"/>
    <w:rsid w:val="6D3EF44F"/>
    <w:rsid w:val="6D57537F"/>
    <w:rsid w:val="6F0E72E3"/>
    <w:rsid w:val="6F8E7DFB"/>
    <w:rsid w:val="6F9D176F"/>
    <w:rsid w:val="714654A2"/>
    <w:rsid w:val="725620A9"/>
    <w:rsid w:val="725957A4"/>
    <w:rsid w:val="727D7636"/>
    <w:rsid w:val="73631280"/>
    <w:rsid w:val="73D2043A"/>
    <w:rsid w:val="74081181"/>
    <w:rsid w:val="746E6CBC"/>
    <w:rsid w:val="756D573F"/>
    <w:rsid w:val="75B23A9A"/>
    <w:rsid w:val="75FB294F"/>
    <w:rsid w:val="781047FF"/>
    <w:rsid w:val="79EF7B77"/>
    <w:rsid w:val="7A7C01D3"/>
    <w:rsid w:val="7AB81FDE"/>
    <w:rsid w:val="7CEA3B1A"/>
    <w:rsid w:val="7DAC5273"/>
    <w:rsid w:val="7DFFA554"/>
    <w:rsid w:val="7E5D8A7E"/>
    <w:rsid w:val="7F390D88"/>
    <w:rsid w:val="7F5F614A"/>
    <w:rsid w:val="7FA649FE"/>
    <w:rsid w:val="7FB80DC6"/>
    <w:rsid w:val="7FFBAE23"/>
    <w:rsid w:val="D73858AE"/>
    <w:rsid w:val="DA6B7469"/>
    <w:rsid w:val="DEBF684A"/>
    <w:rsid w:val="DEFD4B1D"/>
    <w:rsid w:val="E7AF39AB"/>
    <w:rsid w:val="EFADBCFE"/>
    <w:rsid w:val="F36F127E"/>
    <w:rsid w:val="F7E6BD8F"/>
    <w:rsid w:val="F7FDAE24"/>
    <w:rsid w:val="FBFDFFF7"/>
    <w:rsid w:val="FBFFF29D"/>
    <w:rsid w:val="FDB7E4C2"/>
    <w:rsid w:val="FDBD980A"/>
    <w:rsid w:val="FE9B9183"/>
    <w:rsid w:val="FFBEF6C2"/>
    <w:rsid w:val="FFE9A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 w:type="character" w:customStyle="1" w:styleId="104">
    <w:name w:val="fontstyle01"/>
    <w:basedOn w:val="38"/>
    <w:qFormat/>
    <w:uiPriority w:val="0"/>
    <w:rPr>
      <w:rFonts w:hint="default" w:ascii="FangSong" w:hAnsi="FangSong"/>
      <w:color w:val="000000"/>
      <w:sz w:val="30"/>
      <w:szCs w:val="30"/>
    </w:rPr>
  </w:style>
  <w:style w:type="character" w:customStyle="1" w:styleId="105">
    <w:name w:val="fontstyle11"/>
    <w:basedOn w:val="38"/>
    <w:qFormat/>
    <w:uiPriority w:val="0"/>
    <w:rPr>
      <w:rFonts w:hint="default" w:ascii="TimesNewRomanPSMT" w:hAnsi="TimesNewRomanPSMT"/>
      <w:color w:val="000000"/>
      <w:sz w:val="30"/>
      <w:szCs w:val="30"/>
    </w:rPr>
  </w:style>
  <w:style w:type="character" w:customStyle="1" w:styleId="106">
    <w:name w:val="fontstyle21"/>
    <w:basedOn w:val="38"/>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912</Words>
  <Characters>5200</Characters>
  <Lines>43</Lines>
  <Paragraphs>12</Paragraphs>
  <TotalTime>426</TotalTime>
  <ScaleCrop>false</ScaleCrop>
  <LinksUpToDate>false</LinksUpToDate>
  <CharactersWithSpaces>6100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2022-11-23T08:54:00Z</dcterms:created>
  <dc:creator>张恒zh</dc:creator>
  <cp:lastModifiedBy>gaoduo</cp:lastModifiedBy>
  <cp:lastPrinted>2021-09-22T06:03:00Z</cp:lastPrinted>
  <dcterms:modified xsi:type="dcterms:W3CDTF">2022-12-14T18:51:52Z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