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B14" w:rsidRDefault="00617B14" w:rsidP="00617B14">
      <w:pPr>
        <w:spacing w:line="600" w:lineRule="exact"/>
        <w:jc w:val="center"/>
        <w:rPr>
          <w:rFonts w:ascii="方正大标宋简体" w:eastAsia="方正大标宋简体" w:hAnsi="宋体" w:cs="宋体"/>
          <w:bCs/>
          <w:sz w:val="44"/>
          <w:szCs w:val="44"/>
        </w:rPr>
      </w:pPr>
      <w:proofErr w:type="gramStart"/>
      <w:r>
        <w:rPr>
          <w:rFonts w:ascii="方正大标宋简体" w:eastAsia="方正大标宋简体" w:hAnsi="宋体" w:cs="宋体" w:hint="eastAsia"/>
          <w:bCs/>
          <w:sz w:val="44"/>
          <w:szCs w:val="44"/>
        </w:rPr>
        <w:t>关于退</w:t>
      </w:r>
      <w:proofErr w:type="gramEnd"/>
      <w:r>
        <w:rPr>
          <w:rFonts w:ascii="方正大标宋简体" w:eastAsia="方正大标宋简体" w:hAnsi="宋体" w:cs="宋体" w:hint="eastAsia"/>
          <w:bCs/>
          <w:sz w:val="44"/>
          <w:szCs w:val="44"/>
        </w:rPr>
        <w:t>市公司进入退市板块挂牌转让</w:t>
      </w:r>
    </w:p>
    <w:p w:rsidR="00617B14" w:rsidRDefault="00617B14" w:rsidP="00617B14">
      <w:pPr>
        <w:spacing w:line="600" w:lineRule="exact"/>
        <w:jc w:val="center"/>
        <w:rPr>
          <w:rFonts w:ascii="方正大标宋简体" w:eastAsia="方正大标宋简体" w:hAnsi="宋体" w:cs="宋体"/>
          <w:bCs/>
          <w:sz w:val="44"/>
          <w:szCs w:val="44"/>
        </w:rPr>
      </w:pPr>
      <w:r>
        <w:rPr>
          <w:rFonts w:ascii="方正大标宋简体" w:eastAsia="方正大标宋简体" w:hAnsi="宋体" w:cs="宋体" w:hint="eastAsia"/>
          <w:bCs/>
          <w:sz w:val="44"/>
          <w:szCs w:val="44"/>
        </w:rPr>
        <w:t>的实施办法</w:t>
      </w:r>
    </w:p>
    <w:p w:rsidR="00617B14" w:rsidRDefault="00617B14" w:rsidP="00617B14">
      <w:pPr>
        <w:spacing w:line="600" w:lineRule="exact"/>
        <w:jc w:val="center"/>
        <w:rPr>
          <w:rFonts w:ascii="方正大标宋简体" w:eastAsia="方正大标宋简体" w:hAnsi="宋体" w:cs="宋体"/>
          <w:bCs/>
          <w:sz w:val="44"/>
          <w:szCs w:val="44"/>
        </w:rPr>
      </w:pPr>
    </w:p>
    <w:p w:rsidR="00617B14" w:rsidRPr="00987220" w:rsidRDefault="00617B14" w:rsidP="00617B14">
      <w:pPr>
        <w:spacing w:before="240" w:after="240" w:line="600" w:lineRule="exact"/>
        <w:jc w:val="center"/>
        <w:rPr>
          <w:rFonts w:ascii="黑体" w:eastAsia="黑体" w:hAnsi="黑体"/>
          <w:sz w:val="32"/>
          <w:szCs w:val="32"/>
        </w:rPr>
      </w:pPr>
      <w:r w:rsidRPr="00987220">
        <w:rPr>
          <w:rFonts w:ascii="黑体" w:eastAsia="黑体" w:hAnsi="黑体"/>
          <w:sz w:val="32"/>
          <w:szCs w:val="32"/>
        </w:rPr>
        <w:t xml:space="preserve">第一章 </w:t>
      </w:r>
      <w:r>
        <w:rPr>
          <w:rFonts w:ascii="黑体" w:eastAsia="黑体" w:hAnsi="黑体"/>
          <w:sz w:val="32"/>
          <w:szCs w:val="32"/>
        </w:rPr>
        <w:t xml:space="preserve"> </w:t>
      </w:r>
      <w:r w:rsidRPr="00987220">
        <w:rPr>
          <w:rFonts w:ascii="黑体" w:eastAsia="黑体" w:hAnsi="黑体"/>
          <w:sz w:val="32"/>
          <w:szCs w:val="32"/>
        </w:rPr>
        <w:t>总</w:t>
      </w:r>
      <w:r>
        <w:rPr>
          <w:rFonts w:ascii="黑体" w:eastAsia="黑体" w:hAnsi="黑体" w:hint="eastAsia"/>
          <w:sz w:val="32"/>
          <w:szCs w:val="32"/>
        </w:rPr>
        <w:t xml:space="preserve">  </w:t>
      </w:r>
      <w:r w:rsidRPr="00987220">
        <w:rPr>
          <w:rFonts w:ascii="黑体" w:eastAsia="黑体" w:hAnsi="黑体"/>
          <w:sz w:val="32"/>
          <w:szCs w:val="32"/>
        </w:rPr>
        <w:t>则</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第一条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为规范退市公司股票进入退市板块挂牌转让及相关活动，依据《公司法》《证券法》《关于完善上市公司退市后监管工作的指导意见》，制定本办法。</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bCs/>
          <w:sz w:val="32"/>
          <w:szCs w:val="32"/>
        </w:rPr>
        <w:t>本办法所称退市板块，是</w:t>
      </w:r>
      <w:proofErr w:type="gramStart"/>
      <w:r w:rsidRPr="00987220">
        <w:rPr>
          <w:rFonts w:ascii="Times New Roman" w:eastAsia="仿宋" w:hAnsi="Times New Roman"/>
          <w:bCs/>
          <w:sz w:val="32"/>
          <w:szCs w:val="32"/>
        </w:rPr>
        <w:t>指</w:t>
      </w:r>
      <w:r w:rsidRPr="00987220">
        <w:rPr>
          <w:rFonts w:ascii="Times New Roman" w:eastAsia="仿宋" w:hAnsi="Times New Roman"/>
          <w:sz w:val="32"/>
          <w:szCs w:val="32"/>
        </w:rPr>
        <w:t>全国</w:t>
      </w:r>
      <w:proofErr w:type="gramEnd"/>
      <w:r w:rsidRPr="00987220">
        <w:rPr>
          <w:rFonts w:ascii="Times New Roman" w:eastAsia="仿宋" w:hAnsi="Times New Roman"/>
          <w:sz w:val="32"/>
          <w:szCs w:val="32"/>
        </w:rPr>
        <w:t>中小企业股份转让系统有限责任公司（以下简称全国股转公司）依托原证券公司代办股份转让系统设立并代为管理的两网公司及退市公司板块。</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上海证券交易所、深圳证券交易所和北京证券交易所（以下简称交易所）退市公司的股票退出交易所市场的登记及进入退市板块的确权、登记、挂牌转让等事宜，适用本办法。</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第三条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退市公司应确保公司股票及时进入退市板块挂牌转让，保障投资者的交易权利。</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第四条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退市公司应当聘请证券公司（以下</w:t>
      </w:r>
      <w:proofErr w:type="gramStart"/>
      <w:r w:rsidRPr="00987220">
        <w:rPr>
          <w:rFonts w:ascii="Times New Roman" w:eastAsia="仿宋" w:hAnsi="Times New Roman"/>
          <w:sz w:val="32"/>
          <w:szCs w:val="32"/>
        </w:rPr>
        <w:t>简称主办</w:t>
      </w:r>
      <w:proofErr w:type="gramEnd"/>
      <w:r w:rsidRPr="00987220">
        <w:rPr>
          <w:rFonts w:ascii="Times New Roman" w:eastAsia="仿宋" w:hAnsi="Times New Roman"/>
          <w:sz w:val="32"/>
          <w:szCs w:val="32"/>
        </w:rPr>
        <w:t>券商）为其办理公司股票在交易所摘牌（以下简称摘牌）后进入退市板块挂牌转让的相关业务，包括办理交易所市场的股份退出登记、股份重新确认、退市板块的股份初始登记、股票挂牌及提供股份转让服务等。主办券商原则上应在摘牌后</w:t>
      </w:r>
      <w:r w:rsidRPr="00987220">
        <w:rPr>
          <w:rFonts w:ascii="Times New Roman" w:eastAsia="仿宋" w:hAnsi="Times New Roman"/>
          <w:sz w:val="32"/>
          <w:szCs w:val="32"/>
        </w:rPr>
        <w:lastRenderedPageBreak/>
        <w:t>四十五个交易日内完成挂牌手续。</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托管退市公司股票的证券公司（以下简称托管券商）、托管银行等其他市场参与主体应按本办法规定做好退市公司股票登记结算、挂牌转让等工作。</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第五条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投资者参与退市公司股票转让，应主动关注退市公司、主办券商及托管券商发布的公告或信息，充分了解投资风险</w:t>
      </w:r>
      <w:r w:rsidR="00824DE8" w:rsidRPr="00987220">
        <w:rPr>
          <w:rFonts w:ascii="Times New Roman" w:eastAsia="仿宋" w:hAnsi="Times New Roman"/>
          <w:sz w:val="32"/>
          <w:szCs w:val="32"/>
        </w:rPr>
        <w:t>，</w:t>
      </w:r>
      <w:r w:rsidRPr="00987220">
        <w:rPr>
          <w:rFonts w:ascii="Times New Roman" w:eastAsia="仿宋" w:hAnsi="Times New Roman"/>
          <w:sz w:val="32"/>
          <w:szCs w:val="32"/>
        </w:rPr>
        <w:t>按要求办理退市公司股份确权及退市板块交易结算等手续。</w:t>
      </w:r>
      <w:bookmarkStart w:id="0" w:name="_GoBack"/>
      <w:bookmarkEnd w:id="0"/>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第六条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交易所、中国证券登记结算有限责任公司（以下简称中国结算）、全国股转公司加强协同配合，强化程序衔接，推动退市公司平稳、有序进入退市板块。</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交易所强化退市过程中的风险防范和处置，压实退市公司及相关主体责任，做好相关协调工作，推动证券公司主动承接退市公司股票进入退市板块挂牌转让业务，并为主办券商承接挂牌转让业务提供必要的支持。</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中国结算提供退市公司交易所证券账户及登记数据格式初步转换服务，收集并发布各托管券商用于托管退市公司股份的托管单元信息，办理退市公司股票在退市板块的登记、存管、结算等业务。</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全国股转公司</w:t>
      </w:r>
      <w:proofErr w:type="gramStart"/>
      <w:r w:rsidRPr="00987220">
        <w:rPr>
          <w:rFonts w:ascii="Times New Roman" w:eastAsia="仿宋" w:hAnsi="Times New Roman"/>
          <w:sz w:val="32"/>
          <w:szCs w:val="32"/>
        </w:rPr>
        <w:t>明确退</w:t>
      </w:r>
      <w:proofErr w:type="gramEnd"/>
      <w:r w:rsidRPr="00987220">
        <w:rPr>
          <w:rFonts w:ascii="Times New Roman" w:eastAsia="仿宋" w:hAnsi="Times New Roman"/>
          <w:sz w:val="32"/>
          <w:szCs w:val="32"/>
        </w:rPr>
        <w:t>市公司股票挂牌流程，</w:t>
      </w:r>
      <w:proofErr w:type="gramStart"/>
      <w:r w:rsidRPr="00987220">
        <w:rPr>
          <w:rFonts w:ascii="Times New Roman" w:eastAsia="仿宋" w:hAnsi="Times New Roman"/>
          <w:sz w:val="32"/>
          <w:szCs w:val="32"/>
        </w:rPr>
        <w:t>指导主办</w:t>
      </w:r>
      <w:proofErr w:type="gramEnd"/>
      <w:r w:rsidRPr="00987220">
        <w:rPr>
          <w:rFonts w:ascii="Times New Roman" w:eastAsia="仿宋" w:hAnsi="Times New Roman"/>
          <w:sz w:val="32"/>
          <w:szCs w:val="32"/>
        </w:rPr>
        <w:t>券商履行退市公司股票进入退市板块挂牌转让的程序。</w:t>
      </w:r>
    </w:p>
    <w:p w:rsidR="00617B14" w:rsidRPr="00987220" w:rsidRDefault="00617B14" w:rsidP="00617B14">
      <w:pPr>
        <w:spacing w:before="240" w:after="240" w:line="600" w:lineRule="exact"/>
        <w:jc w:val="center"/>
        <w:rPr>
          <w:rFonts w:ascii="黑体" w:eastAsia="黑体" w:hAnsi="黑体"/>
          <w:sz w:val="32"/>
          <w:szCs w:val="32"/>
        </w:rPr>
      </w:pPr>
      <w:r w:rsidRPr="00987220">
        <w:rPr>
          <w:rFonts w:ascii="黑体" w:eastAsia="黑体" w:hAnsi="黑体"/>
          <w:sz w:val="32"/>
          <w:szCs w:val="32"/>
        </w:rPr>
        <w:t xml:space="preserve">第二章 </w:t>
      </w:r>
      <w:r>
        <w:rPr>
          <w:rFonts w:ascii="黑体" w:eastAsia="黑体" w:hAnsi="黑体"/>
          <w:sz w:val="32"/>
          <w:szCs w:val="32"/>
        </w:rPr>
        <w:t xml:space="preserve"> </w:t>
      </w:r>
      <w:r w:rsidRPr="00987220">
        <w:rPr>
          <w:rFonts w:ascii="黑体" w:eastAsia="黑体" w:hAnsi="黑体"/>
          <w:sz w:val="32"/>
          <w:szCs w:val="32"/>
        </w:rPr>
        <w:t>交易所退出安排</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lastRenderedPageBreak/>
        <w:t>第七条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退市公司应根据交易所的要求及时办理摘牌等事宜，充分提示退市风险，并做好股票进入退市板块挂牌转让的工作安排。</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第八条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退市公司应在收到交易所终止上市决定后，及时披露公司摘牌后的股票登记、转让和管理等事宜。</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退市公司应在收到终止上市决定后每五个交易日披露公告，提示投资者或托管券商等市场主体在摘牌前及时了结股票质押式回购、约定购回、融资融券、转融通、沪深股通等业务。</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退市公司应在退市整理期届满当日或摘牌日披露公告，提示投资者确认或申报拟在退市板块使用的证券账户，并</w:t>
      </w:r>
      <w:proofErr w:type="gramStart"/>
      <w:r w:rsidRPr="00987220">
        <w:rPr>
          <w:rFonts w:ascii="Times New Roman" w:eastAsia="仿宋" w:hAnsi="Times New Roman"/>
          <w:sz w:val="32"/>
          <w:szCs w:val="32"/>
        </w:rPr>
        <w:t>明确退</w:t>
      </w:r>
      <w:proofErr w:type="gramEnd"/>
      <w:r w:rsidRPr="00987220">
        <w:rPr>
          <w:rFonts w:ascii="Times New Roman" w:eastAsia="仿宋" w:hAnsi="Times New Roman"/>
          <w:sz w:val="32"/>
          <w:szCs w:val="32"/>
        </w:rPr>
        <w:t>市公司股票进入退市板块挂牌转让的安排等事宜。</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第九条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退市公司应在摘牌前十个交易日之前聘请主办券商并签订《委托股票转让协议》。退市公司和主办券商应当坚持市场化原则，根据退市公司股票挂牌等实际情况，合理确定收费标准。</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退市公司在摘牌前第十个交易日仍未聘请主办券商的，由交易所在退市公司摘牌</w:t>
      </w:r>
      <w:proofErr w:type="gramStart"/>
      <w:r w:rsidRPr="00987220">
        <w:rPr>
          <w:rFonts w:ascii="Times New Roman" w:eastAsia="仿宋" w:hAnsi="Times New Roman"/>
          <w:sz w:val="32"/>
          <w:szCs w:val="32"/>
        </w:rPr>
        <w:t>前协调</w:t>
      </w:r>
      <w:proofErr w:type="gramEnd"/>
      <w:r w:rsidRPr="00987220">
        <w:rPr>
          <w:rFonts w:ascii="Times New Roman" w:eastAsia="仿宋" w:hAnsi="Times New Roman"/>
          <w:sz w:val="32"/>
          <w:szCs w:val="32"/>
        </w:rPr>
        <w:t>确定最近一次担任公司保荐机构、财务顾问的证券公司作为主办券商。如公司因欺诈发行而强制退市的，原则上由交易所协调确定公司公开发行并上市或重组上市的保荐机构担任主办券商。如因合并、分立、解散等原因导致前述证券公司不再存续的，以承接原证券公司业务的证券公司作为主办券商。按照前述原则仍无法</w:t>
      </w:r>
      <w:r w:rsidRPr="00987220">
        <w:rPr>
          <w:rFonts w:ascii="Times New Roman" w:eastAsia="仿宋" w:hAnsi="Times New Roman"/>
          <w:sz w:val="32"/>
          <w:szCs w:val="32"/>
        </w:rPr>
        <w:lastRenderedPageBreak/>
        <w:t>确定主办券商的，交易所可以结合证券公司业务经验和分类评价情况等因素，协调确定主办券商。</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在交易所为退市公司协调确定主办券商前，证券公司可以向交易所主动申请担任主办券商。</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按照第九条第二款和第三款确定主办券商的，退市公司应当及时与主办券商取得联系，签订《委托股票转让协议》，积极配合履行股票进入退市板块挂牌转让的相关程序。</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不办理前款规定事项的，主办券商应当及时向交易所、全国股转公司、中国结算报告，直接办理交易所市场的股份退出登记、股份重新确认、退市板块的股份初始登记及公司股票进入退市板块挂牌转让等事宜。</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第十一条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退市公司股票在交易所摘牌后</w:t>
      </w:r>
      <w:proofErr w:type="gramStart"/>
      <w:r w:rsidRPr="00987220">
        <w:rPr>
          <w:rFonts w:ascii="Times New Roman" w:eastAsia="仿宋" w:hAnsi="Times New Roman"/>
          <w:sz w:val="32"/>
          <w:szCs w:val="32"/>
        </w:rPr>
        <w:t>直至退</w:t>
      </w:r>
      <w:proofErr w:type="gramEnd"/>
      <w:r w:rsidRPr="00987220">
        <w:rPr>
          <w:rFonts w:ascii="Times New Roman" w:eastAsia="仿宋" w:hAnsi="Times New Roman"/>
          <w:sz w:val="32"/>
          <w:szCs w:val="32"/>
        </w:rPr>
        <w:t>市板块挂牌转让前，按照本办法第九条第一款和第三款确定主办券商的，退市公司和主办券商不得终止《委托股票转让协议》，但存在合理理由的除外。</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按照前款规定拟终止协议的，主办券商和退市公司应当及时向交易所、全国股转公司、中国结算报告，说明原因。在退市公司另行聘请到新的主办券商前，原主办券商应当继续按照本办法的规定履行职责。</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退市公司股票在交易所摘牌后</w:t>
      </w:r>
      <w:proofErr w:type="gramStart"/>
      <w:r w:rsidRPr="00987220">
        <w:rPr>
          <w:rFonts w:ascii="Times New Roman" w:eastAsia="仿宋" w:hAnsi="Times New Roman"/>
          <w:sz w:val="32"/>
          <w:szCs w:val="32"/>
        </w:rPr>
        <w:t>直至退</w:t>
      </w:r>
      <w:proofErr w:type="gramEnd"/>
      <w:r w:rsidRPr="00987220">
        <w:rPr>
          <w:rFonts w:ascii="Times New Roman" w:eastAsia="仿宋" w:hAnsi="Times New Roman"/>
          <w:sz w:val="32"/>
          <w:szCs w:val="32"/>
        </w:rPr>
        <w:t>市板块挂牌转让前，按照本办法第九条第二款确定主办券商的，退市公司不得变更主办券商。</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lastRenderedPageBreak/>
        <w:t>第十二条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证券公司按照第九条第一款和第三款规定担任主办券商的，纳入证券公司当年分类评价考虑，具体遵照中国证券监督管理委员会（以下简称中国证监会）相关规定执行。</w:t>
      </w:r>
    </w:p>
    <w:p w:rsidR="00617B14" w:rsidRPr="00987220" w:rsidRDefault="00617B14" w:rsidP="00617B14">
      <w:pPr>
        <w:spacing w:before="240" w:after="240" w:line="600" w:lineRule="exact"/>
        <w:jc w:val="center"/>
        <w:rPr>
          <w:rFonts w:ascii="黑体" w:eastAsia="黑体" w:hAnsi="黑体"/>
          <w:sz w:val="32"/>
          <w:szCs w:val="32"/>
        </w:rPr>
      </w:pPr>
      <w:r w:rsidRPr="00987220">
        <w:rPr>
          <w:rFonts w:ascii="黑体" w:eastAsia="黑体" w:hAnsi="黑体"/>
          <w:sz w:val="32"/>
          <w:szCs w:val="32"/>
        </w:rPr>
        <w:t xml:space="preserve">第三章 </w:t>
      </w:r>
      <w:r>
        <w:rPr>
          <w:rFonts w:ascii="黑体" w:eastAsia="黑体" w:hAnsi="黑体"/>
          <w:sz w:val="32"/>
          <w:szCs w:val="32"/>
        </w:rPr>
        <w:t xml:space="preserve"> </w:t>
      </w:r>
      <w:r w:rsidRPr="00987220">
        <w:rPr>
          <w:rFonts w:ascii="黑体" w:eastAsia="黑体" w:hAnsi="黑体"/>
          <w:sz w:val="32"/>
          <w:szCs w:val="32"/>
        </w:rPr>
        <w:t>退市公司股票确权登记程序</w:t>
      </w:r>
    </w:p>
    <w:p w:rsidR="00617B14" w:rsidRPr="00987220" w:rsidRDefault="00617B14" w:rsidP="00617B14">
      <w:pPr>
        <w:spacing w:before="240" w:after="240" w:line="600" w:lineRule="exact"/>
        <w:jc w:val="center"/>
        <w:rPr>
          <w:rFonts w:ascii="楷体" w:eastAsia="楷体" w:hAnsi="楷体"/>
          <w:sz w:val="32"/>
          <w:szCs w:val="32"/>
        </w:rPr>
      </w:pPr>
      <w:r w:rsidRPr="00987220">
        <w:rPr>
          <w:rFonts w:ascii="楷体" w:eastAsia="楷体" w:hAnsi="楷体"/>
          <w:sz w:val="32"/>
          <w:szCs w:val="32"/>
        </w:rPr>
        <w:t xml:space="preserve">第一节 </w:t>
      </w:r>
      <w:r>
        <w:rPr>
          <w:rFonts w:ascii="楷体" w:eastAsia="楷体" w:hAnsi="楷体"/>
          <w:sz w:val="32"/>
          <w:szCs w:val="32"/>
        </w:rPr>
        <w:t xml:space="preserve"> </w:t>
      </w:r>
      <w:r w:rsidRPr="00987220">
        <w:rPr>
          <w:rFonts w:ascii="楷体" w:eastAsia="楷体" w:hAnsi="楷体"/>
          <w:sz w:val="32"/>
          <w:szCs w:val="32"/>
        </w:rPr>
        <w:t>一般性规定</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第十三条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主办券商在退市公司完成交易所市场的退出登记后，应履行以下职责：</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（一）及时接收中国结算移交的退市公司交易所股份登记托管原始数据及按退市板块登记数据格式初步转换后的数据（以下统称原市场数据）；</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（二）自接收原市场数据至在退市板块办理完成退市板块公司股份初始登记业务办理期间（以下简称退市登记业务办理期间），负责办理退市公司股份确权、协助执法及投资者证券持有和变动记录维护等业务；</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（三）在原市场数据基础上，根据投资者申报的可用</w:t>
      </w:r>
      <w:proofErr w:type="gramStart"/>
      <w:r w:rsidRPr="00987220">
        <w:rPr>
          <w:rFonts w:ascii="Times New Roman" w:eastAsia="仿宋" w:hAnsi="Times New Roman"/>
          <w:sz w:val="32"/>
          <w:szCs w:val="32"/>
        </w:rPr>
        <w:t>于登记退</w:t>
      </w:r>
      <w:proofErr w:type="gramEnd"/>
      <w:r w:rsidRPr="00987220">
        <w:rPr>
          <w:rFonts w:ascii="Times New Roman" w:eastAsia="仿宋" w:hAnsi="Times New Roman"/>
          <w:sz w:val="32"/>
          <w:szCs w:val="32"/>
        </w:rPr>
        <w:t>市公司股份的证券账户，及退市登记业务办理期间登记数据变动情况，并按退市板块股份限售等要求，生成退市公司在退市板块的股份登记申请数据，并向中国结算报送；</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（四）维护退市板块未确认持有人专用证券账户明细数据，并按要求办理挂牌后的股份确权手续；</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（五）交易所、全国股转公司、中国结算规定的其他事</w:t>
      </w:r>
      <w:r w:rsidRPr="00987220">
        <w:rPr>
          <w:rFonts w:ascii="Times New Roman" w:eastAsia="仿宋" w:hAnsi="Times New Roman"/>
          <w:sz w:val="32"/>
          <w:szCs w:val="32"/>
        </w:rPr>
        <w:lastRenderedPageBreak/>
        <w:t>项。</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第十四条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退市公司在上市期间与中国结算签署的证券登记服务协议，在退市公司股份于退市板块登记后继续沿用，退市公司应</w:t>
      </w:r>
      <w:proofErr w:type="gramStart"/>
      <w:r w:rsidRPr="00987220">
        <w:rPr>
          <w:rFonts w:ascii="Times New Roman" w:eastAsia="仿宋" w:hAnsi="Times New Roman"/>
          <w:sz w:val="32"/>
          <w:szCs w:val="32"/>
        </w:rPr>
        <w:t>按照退</w:t>
      </w:r>
      <w:proofErr w:type="gramEnd"/>
      <w:r w:rsidRPr="00987220">
        <w:rPr>
          <w:rFonts w:ascii="Times New Roman" w:eastAsia="仿宋" w:hAnsi="Times New Roman"/>
          <w:sz w:val="32"/>
          <w:szCs w:val="32"/>
        </w:rPr>
        <w:t>市板块业务规则及证券登记服务协议等要求履行相应职责。</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退市公司不履行的，主办券商应履行上述职责，包括但不限于妥善保管所接收的退市公司股份登记数据资料，确保向中国结算报送的退市公司在退市板块的股份登记申请数据真实、准确、完整等职责。</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第十五条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托管券商应采取线上等方式，为投资者办理退市公司股份确权及退市板块交易结算手续提供便利。</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第十六条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主办券商按要求完成退市公司股份登记及挂牌手续后，投资者所持有的退市公司股份方可进行转让。</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第十七条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北京证券交易所退市公司进入退市板块的股票确权登记程序参照本办法执行。</w:t>
      </w:r>
    </w:p>
    <w:p w:rsidR="00617B14" w:rsidRPr="00987220" w:rsidRDefault="00617B14" w:rsidP="00617B14">
      <w:pPr>
        <w:spacing w:before="240" w:after="240" w:line="600" w:lineRule="exact"/>
        <w:jc w:val="center"/>
        <w:rPr>
          <w:rFonts w:ascii="楷体" w:eastAsia="楷体" w:hAnsi="楷体"/>
          <w:sz w:val="32"/>
          <w:szCs w:val="32"/>
        </w:rPr>
      </w:pPr>
      <w:r w:rsidRPr="00987220">
        <w:rPr>
          <w:rFonts w:ascii="楷体" w:eastAsia="楷体" w:hAnsi="楷体"/>
          <w:sz w:val="32"/>
          <w:szCs w:val="32"/>
        </w:rPr>
        <w:t>第二节</w:t>
      </w:r>
      <w:r>
        <w:rPr>
          <w:rFonts w:ascii="楷体" w:eastAsia="楷体" w:hAnsi="楷体" w:hint="eastAsia"/>
          <w:sz w:val="32"/>
          <w:szCs w:val="32"/>
        </w:rPr>
        <w:t xml:space="preserve"> </w:t>
      </w:r>
      <w:r w:rsidRPr="00987220">
        <w:rPr>
          <w:rFonts w:ascii="楷体" w:eastAsia="楷体" w:hAnsi="楷体"/>
          <w:sz w:val="32"/>
          <w:szCs w:val="32"/>
        </w:rPr>
        <w:t xml:space="preserve"> 证券账户及托管单元确认</w:t>
      </w:r>
    </w:p>
    <w:p w:rsidR="00617B14" w:rsidRPr="00987220" w:rsidRDefault="00617B14" w:rsidP="00617B14">
      <w:pPr>
        <w:spacing w:line="600" w:lineRule="exact"/>
        <w:ind w:firstLineChars="200" w:firstLine="640"/>
        <w:rPr>
          <w:rFonts w:ascii="Times New Roman" w:eastAsia="仿宋" w:hAnsi="Times New Roman"/>
          <w:color w:val="000000"/>
          <w:sz w:val="32"/>
          <w:szCs w:val="32"/>
        </w:rPr>
      </w:pPr>
      <w:r w:rsidRPr="00987220">
        <w:rPr>
          <w:rFonts w:ascii="黑体" w:eastAsia="黑体" w:hAnsi="黑体"/>
          <w:sz w:val="32"/>
          <w:szCs w:val="32"/>
        </w:rPr>
        <w:t>第十八条</w:t>
      </w:r>
      <w:r w:rsidRPr="00987220">
        <w:rPr>
          <w:rFonts w:ascii="Times New Roman" w:eastAsia="仿宋" w:hAnsi="Times New Roman"/>
          <w:b/>
          <w:bCs/>
          <w:sz w:val="32"/>
          <w:szCs w:val="32"/>
        </w:rPr>
        <w:t xml:space="preserve"> </w:t>
      </w:r>
      <w:r w:rsidRPr="00987220">
        <w:rPr>
          <w:rFonts w:ascii="Times New Roman" w:eastAsia="仿宋" w:hAnsi="Times New Roman"/>
          <w:bCs/>
          <w:sz w:val="32"/>
          <w:szCs w:val="32"/>
        </w:rPr>
        <w:t>投资者持有的交易所原证券账户可在退市板块使用的，应使用原证券账户。</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第十九条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对于</w:t>
      </w:r>
      <w:r w:rsidRPr="00987220">
        <w:rPr>
          <w:rFonts w:ascii="Times New Roman" w:eastAsia="仿宋" w:hAnsi="Times New Roman"/>
          <w:bCs/>
          <w:sz w:val="32"/>
          <w:szCs w:val="32"/>
        </w:rPr>
        <w:t>原证券账户无法在退市板块使用的个人和普通机构投资者，</w:t>
      </w:r>
      <w:r w:rsidRPr="00987220">
        <w:rPr>
          <w:rFonts w:ascii="Times New Roman" w:eastAsia="仿宋" w:hAnsi="Times New Roman"/>
          <w:sz w:val="32"/>
          <w:szCs w:val="32"/>
        </w:rPr>
        <w:t>由中国结算提供证券账户初步转换服务。符合在交易所及退市板块使用的证券账户均为正常状态且关联关系已确认等条件的，中国结算为其在同</w:t>
      </w:r>
      <w:proofErr w:type="gramStart"/>
      <w:r w:rsidRPr="00987220">
        <w:rPr>
          <w:rFonts w:ascii="Times New Roman" w:eastAsia="仿宋" w:hAnsi="Times New Roman"/>
          <w:sz w:val="32"/>
          <w:szCs w:val="32"/>
        </w:rPr>
        <w:t>一一码通</w:t>
      </w:r>
      <w:proofErr w:type="gramEnd"/>
      <w:r w:rsidRPr="00987220">
        <w:rPr>
          <w:rFonts w:ascii="Times New Roman" w:eastAsia="仿宋" w:hAnsi="Times New Roman"/>
          <w:sz w:val="32"/>
          <w:szCs w:val="32"/>
        </w:rPr>
        <w:t>账户</w:t>
      </w:r>
      <w:r w:rsidRPr="00987220">
        <w:rPr>
          <w:rFonts w:ascii="Times New Roman" w:eastAsia="仿宋" w:hAnsi="Times New Roman"/>
          <w:sz w:val="32"/>
          <w:szCs w:val="32"/>
        </w:rPr>
        <w:lastRenderedPageBreak/>
        <w:t>下自动选择一个可在退市板块使用的证券账户。对于不符合上述条件的，中国结算为其配发一个限制买入的证券账户。</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中国结算将上述证券账户信息发送托管券商及主办券商，托管券商及主办券商应将证券账户信息告知投资者。投资者可通过托管券商或自行向主办券商申报调整；未申报调整的，视为确认由中国结算为其选择或配发的在退市板块使用的证券账户。退市公司股份在退市板块全部卖出后，中国结算及托管券商有权注销配发的证券账户。</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对于</w:t>
      </w:r>
      <w:r w:rsidRPr="00987220">
        <w:rPr>
          <w:rFonts w:ascii="Times New Roman" w:eastAsia="仿宋" w:hAnsi="Times New Roman"/>
          <w:bCs/>
          <w:sz w:val="32"/>
          <w:szCs w:val="32"/>
        </w:rPr>
        <w:t>原证券账户无法在退市板块使用的</w:t>
      </w:r>
      <w:r w:rsidRPr="00987220">
        <w:rPr>
          <w:rFonts w:ascii="Times New Roman" w:eastAsia="仿宋" w:hAnsi="Times New Roman"/>
          <w:sz w:val="32"/>
          <w:szCs w:val="32"/>
        </w:rPr>
        <w:t>特殊机构、证券投资产品等投资者，托管券商应告知其申报可在退市板块使用的证券账户；未申报的，其持有的退市公司股份原则上</w:t>
      </w:r>
      <w:proofErr w:type="gramStart"/>
      <w:r w:rsidRPr="00987220">
        <w:rPr>
          <w:rFonts w:ascii="Times New Roman" w:eastAsia="仿宋" w:hAnsi="Times New Roman"/>
          <w:sz w:val="32"/>
          <w:szCs w:val="32"/>
        </w:rPr>
        <w:t>登记至退市</w:t>
      </w:r>
      <w:proofErr w:type="gramEnd"/>
      <w:r w:rsidRPr="00987220">
        <w:rPr>
          <w:rFonts w:ascii="Times New Roman" w:eastAsia="仿宋" w:hAnsi="Times New Roman"/>
          <w:sz w:val="32"/>
          <w:szCs w:val="32"/>
        </w:rPr>
        <w:t>板块未确认持有人专用证券账户。</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第二十一条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各托管券商应向中国结算报送一个转入时用于托管退市公司股份的托管单元，并在变更后及时向中国结算申请调整。中国结算对托管券商报送的托管单元信息进行维护更新并予以发布。</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第二十二条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股份在退市前托管在有全国中小企业股份转让系统（以下简称全国股转系统）经纪业务资格托管券商的，在退市板块登记时，托管关系应与退市前保持一致。主办券商根据中国结算发布的托管单元信息为投资者批量填报退市板块托管单元。</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退市公司股份在退市前属于证券公司自营业务、无托管券商或托管在</w:t>
      </w:r>
      <w:proofErr w:type="gramStart"/>
      <w:r w:rsidRPr="00987220">
        <w:rPr>
          <w:rFonts w:ascii="Times New Roman" w:eastAsia="仿宋" w:hAnsi="Times New Roman"/>
          <w:sz w:val="32"/>
          <w:szCs w:val="32"/>
        </w:rPr>
        <w:t>无全国股转系统</w:t>
      </w:r>
      <w:proofErr w:type="gramEnd"/>
      <w:r w:rsidRPr="00987220">
        <w:rPr>
          <w:rFonts w:ascii="Times New Roman" w:eastAsia="仿宋" w:hAnsi="Times New Roman"/>
          <w:sz w:val="32"/>
          <w:szCs w:val="32"/>
        </w:rPr>
        <w:t>经纪业务资格托管券商的，投</w:t>
      </w:r>
      <w:r w:rsidRPr="00987220">
        <w:rPr>
          <w:rFonts w:ascii="Times New Roman" w:eastAsia="仿宋" w:hAnsi="Times New Roman"/>
          <w:sz w:val="32"/>
          <w:szCs w:val="32"/>
        </w:rPr>
        <w:lastRenderedPageBreak/>
        <w:t>资者应通过托管券商或自行向主办券商申报退市板块托管单元。</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第二十三条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投资者应申报托管单元而未申报的，所持有的退市公司股份托管至主办券商的退市板块托管单元。</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第二十四条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退市登记业务办理期间，托管券商不得变更退市板块托管单元结算路径，或为投资者注销用于退市公司股份登记的证券账户。</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第二十五条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对于在退市板块未开展的约定购回、融资融券、转融通、沪深股通等业务，投资者在退市板块登记时仍持有的上述业务相关股份登记至未确认持有人专用证券账户。</w:t>
      </w:r>
    </w:p>
    <w:p w:rsidR="00617B14" w:rsidRPr="00987220" w:rsidRDefault="00617B14" w:rsidP="00617B14">
      <w:pPr>
        <w:spacing w:before="240" w:after="240" w:line="600" w:lineRule="exact"/>
        <w:jc w:val="center"/>
        <w:rPr>
          <w:rFonts w:ascii="楷体" w:eastAsia="楷体" w:hAnsi="楷体"/>
          <w:sz w:val="32"/>
          <w:szCs w:val="32"/>
        </w:rPr>
      </w:pPr>
      <w:r w:rsidRPr="00987220">
        <w:rPr>
          <w:rFonts w:ascii="楷体" w:eastAsia="楷体" w:hAnsi="楷体"/>
          <w:sz w:val="32"/>
          <w:szCs w:val="32"/>
        </w:rPr>
        <w:t xml:space="preserve">第三节 </w:t>
      </w:r>
      <w:r>
        <w:rPr>
          <w:rFonts w:ascii="楷体" w:eastAsia="楷体" w:hAnsi="楷体"/>
          <w:sz w:val="32"/>
          <w:szCs w:val="32"/>
        </w:rPr>
        <w:t xml:space="preserve"> </w:t>
      </w:r>
      <w:r w:rsidRPr="00987220">
        <w:rPr>
          <w:rFonts w:ascii="楷体" w:eastAsia="楷体" w:hAnsi="楷体"/>
          <w:sz w:val="32"/>
          <w:szCs w:val="32"/>
        </w:rPr>
        <w:t>确权登记办理流程</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第二十六条</w:t>
      </w:r>
      <w:r w:rsidRPr="00987220">
        <w:rPr>
          <w:rFonts w:ascii="Times New Roman" w:eastAsia="仿宋" w:hAnsi="Times New Roman"/>
          <w:b/>
          <w:bCs/>
          <w:sz w:val="32"/>
          <w:szCs w:val="32"/>
        </w:rPr>
        <w:t xml:space="preserve"> </w:t>
      </w:r>
      <w:r w:rsidRPr="00987220">
        <w:rPr>
          <w:rFonts w:ascii="Times New Roman" w:eastAsia="仿宋" w:hAnsi="Times New Roman"/>
          <w:sz w:val="32"/>
          <w:szCs w:val="32"/>
        </w:rPr>
        <w:t>退市公司或主办券商应在公司摘牌前向中国结算申请对证券账户及登记数据进行初步转换，中国结算根据</w:t>
      </w:r>
      <w:proofErr w:type="gramStart"/>
      <w:r w:rsidRPr="00987220">
        <w:rPr>
          <w:rFonts w:ascii="Times New Roman" w:eastAsia="仿宋" w:hAnsi="Times New Roman"/>
          <w:sz w:val="32"/>
          <w:szCs w:val="32"/>
        </w:rPr>
        <w:t>申请按</w:t>
      </w:r>
      <w:proofErr w:type="gramEnd"/>
      <w:r w:rsidRPr="00987220">
        <w:rPr>
          <w:rFonts w:ascii="Times New Roman" w:eastAsia="仿宋" w:hAnsi="Times New Roman"/>
          <w:sz w:val="32"/>
          <w:szCs w:val="32"/>
        </w:rPr>
        <w:t>退市板块登记数据格式完成初步转换。</w:t>
      </w:r>
    </w:p>
    <w:p w:rsidR="00617B14" w:rsidRPr="00987220" w:rsidRDefault="00617B14" w:rsidP="00617B14">
      <w:pPr>
        <w:tabs>
          <w:tab w:val="left" w:pos="6015"/>
        </w:tabs>
        <w:spacing w:line="600" w:lineRule="exact"/>
        <w:ind w:firstLineChars="200" w:firstLine="640"/>
        <w:rPr>
          <w:rFonts w:ascii="Times New Roman" w:eastAsia="仿宋" w:hAnsi="Times New Roman"/>
          <w:b/>
          <w:bCs/>
          <w:sz w:val="32"/>
          <w:szCs w:val="32"/>
        </w:rPr>
      </w:pPr>
      <w:r w:rsidRPr="00987220">
        <w:rPr>
          <w:rFonts w:ascii="黑体" w:eastAsia="黑体" w:hAnsi="黑体"/>
          <w:sz w:val="32"/>
          <w:szCs w:val="32"/>
        </w:rPr>
        <w:t>第二十七条</w:t>
      </w:r>
      <w:r w:rsidRPr="00987220">
        <w:rPr>
          <w:rFonts w:ascii="Times New Roman" w:eastAsia="仿宋" w:hAnsi="Times New Roman"/>
          <w:b/>
          <w:bCs/>
          <w:sz w:val="32"/>
          <w:szCs w:val="32"/>
        </w:rPr>
        <w:t xml:space="preserve"> </w:t>
      </w:r>
      <w:r w:rsidRPr="00987220">
        <w:rPr>
          <w:rFonts w:ascii="Times New Roman" w:eastAsia="仿宋" w:hAnsi="Times New Roman"/>
          <w:sz w:val="32"/>
          <w:szCs w:val="32"/>
        </w:rPr>
        <w:t>中国结算在公司摘牌后第五个交易日前向主办券商移交原市场数据。主办券商应在公司摘牌后第五个交易日前在退市板块发布股份确权公告，明确投资者办理股份确权、登记和托管手续等安排。</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第二十八条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对于按照第十九条、第二十条需申报或调整证券账户及第二十二条需申报托管单元的投资者，可在摘牌后第十五个交易日前通过托管券商或自行向主办券商申</w:t>
      </w:r>
      <w:r w:rsidRPr="00987220">
        <w:rPr>
          <w:rFonts w:ascii="Times New Roman" w:eastAsia="仿宋" w:hAnsi="Times New Roman"/>
          <w:sz w:val="32"/>
          <w:szCs w:val="32"/>
        </w:rPr>
        <w:lastRenderedPageBreak/>
        <w:t>请办理。</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Times New Roman" w:eastAsia="仿宋" w:hAnsi="Times New Roman"/>
          <w:sz w:val="32"/>
          <w:szCs w:val="32"/>
        </w:rPr>
        <w:t>托管券商应根据主办券商发布的公告内容，告知投资者股份确权相关安排。</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第二十九条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主办券商应在公司摘牌后第二十个交易日前向中国结算申请为拟在退市板块使用的证券账户添加北京市场账户标识。</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 xml:space="preserve">第三十条 </w:t>
      </w:r>
      <w:r w:rsidRPr="00987220">
        <w:rPr>
          <w:rFonts w:ascii="Times New Roman" w:eastAsia="仿宋" w:hAnsi="Times New Roman"/>
          <w:sz w:val="32"/>
          <w:szCs w:val="32"/>
        </w:rPr>
        <w:t>主办券商应在公司摘牌后第二十五个交易日前向中国结算提交退市公司股份登记申请。中国结算预审通过后予以受理，并于受理后十个交易日内完成退市公司股份在退市板块的初始登记。</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第三十一条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采用托管人结算模式的，管理人应按本办法规定通过托管人办理在退市板块使用的证券账户、托管单元申报等工作。</w:t>
      </w:r>
    </w:p>
    <w:p w:rsidR="00617B14" w:rsidRPr="00987220" w:rsidRDefault="00617B14" w:rsidP="00617B14">
      <w:pPr>
        <w:spacing w:before="240" w:after="240" w:line="600" w:lineRule="exact"/>
        <w:jc w:val="center"/>
        <w:rPr>
          <w:rFonts w:ascii="黑体" w:eastAsia="黑体" w:hAnsi="黑体"/>
          <w:sz w:val="32"/>
          <w:szCs w:val="32"/>
        </w:rPr>
      </w:pPr>
      <w:r w:rsidRPr="00987220">
        <w:rPr>
          <w:rFonts w:ascii="黑体" w:eastAsia="黑体" w:hAnsi="黑体"/>
          <w:sz w:val="32"/>
          <w:szCs w:val="32"/>
        </w:rPr>
        <w:t>第四章</w:t>
      </w:r>
      <w:r>
        <w:rPr>
          <w:rFonts w:ascii="黑体" w:eastAsia="黑体" w:hAnsi="黑体" w:hint="eastAsia"/>
          <w:sz w:val="32"/>
          <w:szCs w:val="32"/>
        </w:rPr>
        <w:t xml:space="preserve"> </w:t>
      </w:r>
      <w:r w:rsidRPr="00987220">
        <w:rPr>
          <w:rFonts w:ascii="黑体" w:eastAsia="黑体" w:hAnsi="黑体"/>
          <w:sz w:val="32"/>
          <w:szCs w:val="32"/>
        </w:rPr>
        <w:t xml:space="preserve"> 股票挂牌与转让</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黑体" w:eastAsia="黑体" w:hAnsi="黑体"/>
          <w:sz w:val="32"/>
          <w:szCs w:val="32"/>
        </w:rPr>
        <w:t>第三十二条</w:t>
      </w:r>
      <w:r w:rsidRPr="00987220">
        <w:rPr>
          <w:rFonts w:ascii="Times New Roman" w:eastAsia="仿宋" w:hAnsi="Times New Roman"/>
          <w:bCs/>
          <w:sz w:val="32"/>
          <w:szCs w:val="32"/>
        </w:rPr>
        <w:t xml:space="preserve"> </w:t>
      </w:r>
      <w:r w:rsidRPr="00987220">
        <w:rPr>
          <w:rFonts w:ascii="Times New Roman" w:eastAsia="仿宋" w:hAnsi="Times New Roman"/>
          <w:bCs/>
          <w:sz w:val="32"/>
          <w:szCs w:val="32"/>
        </w:rPr>
        <w:t>主办券商应按全国股转公司的要求办理退市公司股票在退市板块挂牌手续。退市公司或主办券商应及时披露退市公司挂牌的进展情况。</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黑体" w:eastAsia="黑体" w:hAnsi="黑体"/>
          <w:sz w:val="32"/>
          <w:szCs w:val="32"/>
        </w:rPr>
        <w:t>第三十三条</w:t>
      </w:r>
      <w:r w:rsidRPr="00987220">
        <w:rPr>
          <w:rFonts w:ascii="Times New Roman" w:eastAsia="仿宋" w:hAnsi="Times New Roman"/>
          <w:bCs/>
          <w:sz w:val="32"/>
          <w:szCs w:val="32"/>
        </w:rPr>
        <w:t xml:space="preserve"> </w:t>
      </w:r>
      <w:r w:rsidRPr="00987220">
        <w:rPr>
          <w:rFonts w:ascii="Times New Roman" w:eastAsia="仿宋" w:hAnsi="Times New Roman"/>
          <w:bCs/>
          <w:sz w:val="32"/>
          <w:szCs w:val="32"/>
        </w:rPr>
        <w:t>主办券商在办理退市公司股票挂牌过程中，如退市公司对交易所退市决定提起复核等法律救济的，主办券商应暂停其股票进入退市板块登记及挂牌工作，并根据复核等法律救济的结果决定是否恢复其股票的登记及挂牌工作。</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Times New Roman" w:eastAsia="仿宋" w:hAnsi="Times New Roman"/>
          <w:bCs/>
          <w:sz w:val="32"/>
          <w:szCs w:val="32"/>
        </w:rPr>
        <w:lastRenderedPageBreak/>
        <w:t>退市公司在退市板块挂牌前存在解散或清算、被法院宣告破产等情形的，其股票不得进入退市板块挂牌，退市公司或主办券商应按中国结算要求办理退出登记手续。</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第三十四条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退市公司应当在股票进入退市板块挂牌转让前两个交易日编制并披露股票转让公告。主办券商应同时披露投资风险提示公告。</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 xml:space="preserve">第三十五条 </w:t>
      </w:r>
      <w:r w:rsidRPr="00987220">
        <w:rPr>
          <w:rFonts w:ascii="Times New Roman" w:eastAsia="仿宋" w:hAnsi="Times New Roman"/>
          <w:sz w:val="32"/>
          <w:szCs w:val="32"/>
        </w:rPr>
        <w:t>在交易所摘牌前，退市公司股票限售期尚未届满的，该部分股票的剩余限售期应连续计算。限售期届满后，退市公司或主办券商可以根据全国股转公司的要求办理解除限售手续。</w:t>
      </w:r>
    </w:p>
    <w:p w:rsidR="00617B14" w:rsidRPr="00987220" w:rsidRDefault="00617B14" w:rsidP="00617B14">
      <w:pPr>
        <w:tabs>
          <w:tab w:val="left" w:pos="6015"/>
        </w:tabs>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第三十六条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退市公司在上市期间开展股权激励或回购业务的，可依据上市期间审议通过并披露的方案继续执行，方案原则上不得变更。</w:t>
      </w:r>
    </w:p>
    <w:p w:rsidR="00617B14" w:rsidRPr="00987220" w:rsidRDefault="00617B14" w:rsidP="00617B14">
      <w:pPr>
        <w:spacing w:line="600" w:lineRule="exact"/>
        <w:ind w:firstLineChars="200" w:firstLine="640"/>
        <w:rPr>
          <w:rFonts w:ascii="Times New Roman" w:eastAsia="仿宋" w:hAnsi="Times New Roman"/>
          <w:bCs/>
          <w:sz w:val="32"/>
          <w:szCs w:val="32"/>
        </w:rPr>
      </w:pPr>
      <w:r w:rsidRPr="00987220">
        <w:rPr>
          <w:rFonts w:ascii="黑体" w:eastAsia="黑体" w:hAnsi="黑体"/>
          <w:sz w:val="32"/>
          <w:szCs w:val="32"/>
        </w:rPr>
        <w:t>第三十七条</w:t>
      </w:r>
      <w:r w:rsidRPr="00987220">
        <w:rPr>
          <w:rFonts w:ascii="Times New Roman" w:eastAsia="仿宋" w:hAnsi="Times New Roman"/>
          <w:bCs/>
          <w:sz w:val="32"/>
          <w:szCs w:val="32"/>
        </w:rPr>
        <w:t xml:space="preserve"> </w:t>
      </w:r>
      <w:r w:rsidRPr="00987220">
        <w:rPr>
          <w:rFonts w:ascii="Times New Roman" w:eastAsia="仿宋" w:hAnsi="Times New Roman"/>
          <w:bCs/>
          <w:sz w:val="32"/>
          <w:szCs w:val="32"/>
        </w:rPr>
        <w:t>个人投资者申请参与退市公司股票转让的，应当具备</w:t>
      </w:r>
      <w:r w:rsidRPr="00987220">
        <w:rPr>
          <w:rFonts w:ascii="Times New Roman" w:eastAsia="仿宋" w:hAnsi="Times New Roman"/>
          <w:bCs/>
          <w:sz w:val="32"/>
          <w:szCs w:val="32"/>
        </w:rPr>
        <w:t>2</w:t>
      </w:r>
      <w:r w:rsidRPr="00987220">
        <w:rPr>
          <w:rFonts w:ascii="Times New Roman" w:eastAsia="仿宋" w:hAnsi="Times New Roman"/>
          <w:bCs/>
          <w:sz w:val="32"/>
          <w:szCs w:val="32"/>
        </w:rPr>
        <w:t>年以上的股票交易经验，且本人名下证券类资产在申请开通前二十个交易日日均在人民币</w:t>
      </w:r>
      <w:r w:rsidRPr="00987220">
        <w:rPr>
          <w:rFonts w:ascii="Times New Roman" w:eastAsia="仿宋" w:hAnsi="Times New Roman"/>
          <w:bCs/>
          <w:sz w:val="32"/>
          <w:szCs w:val="32"/>
        </w:rPr>
        <w:t>50</w:t>
      </w:r>
      <w:r w:rsidRPr="00987220">
        <w:rPr>
          <w:rFonts w:ascii="Times New Roman" w:eastAsia="仿宋" w:hAnsi="Times New Roman"/>
          <w:bCs/>
          <w:sz w:val="32"/>
          <w:szCs w:val="32"/>
        </w:rPr>
        <w:t>万元以上（不含该投资者通过融资融券交易融入的证券和资金）。</w:t>
      </w:r>
    </w:p>
    <w:p w:rsidR="00617B14" w:rsidRPr="00987220" w:rsidRDefault="00617B14" w:rsidP="00617B14">
      <w:pPr>
        <w:spacing w:line="600" w:lineRule="exact"/>
        <w:ind w:firstLineChars="200" w:firstLine="640"/>
        <w:rPr>
          <w:rFonts w:ascii="Times New Roman" w:eastAsia="仿宋" w:hAnsi="Times New Roman"/>
          <w:bCs/>
          <w:sz w:val="32"/>
          <w:szCs w:val="32"/>
        </w:rPr>
      </w:pPr>
      <w:r w:rsidRPr="00987220">
        <w:rPr>
          <w:rFonts w:ascii="Times New Roman" w:eastAsia="仿宋" w:hAnsi="Times New Roman"/>
          <w:bCs/>
          <w:sz w:val="32"/>
          <w:szCs w:val="32"/>
        </w:rPr>
        <w:t>个人投资者申请参与退市公司股票转让的，应在充分了解投资风险的基础上签署《风险揭示书》。已持有公司股票但不符合以上规定或未签署《风险揭示书》的个人投资者，只能买卖其持有的退市公司股票。</w:t>
      </w:r>
    </w:p>
    <w:p w:rsidR="00617B14" w:rsidRPr="00987220" w:rsidRDefault="00617B14" w:rsidP="00617B14">
      <w:pPr>
        <w:tabs>
          <w:tab w:val="left" w:pos="6015"/>
        </w:tabs>
        <w:spacing w:line="600" w:lineRule="exact"/>
        <w:ind w:firstLineChars="200" w:firstLine="640"/>
        <w:rPr>
          <w:rFonts w:ascii="Times New Roman" w:eastAsia="仿宋" w:hAnsi="Times New Roman"/>
          <w:b/>
          <w:bCs/>
          <w:sz w:val="32"/>
          <w:szCs w:val="32"/>
        </w:rPr>
      </w:pPr>
      <w:r w:rsidRPr="00987220">
        <w:rPr>
          <w:rFonts w:ascii="黑体" w:eastAsia="黑体" w:hAnsi="黑体"/>
          <w:sz w:val="32"/>
          <w:szCs w:val="32"/>
        </w:rPr>
        <w:t>第三十八条</w:t>
      </w:r>
      <w:r w:rsidRPr="00987220">
        <w:rPr>
          <w:rFonts w:ascii="Times New Roman" w:eastAsia="仿宋" w:hAnsi="Times New Roman"/>
          <w:b/>
          <w:bCs/>
          <w:sz w:val="32"/>
          <w:szCs w:val="32"/>
        </w:rPr>
        <w:t xml:space="preserve"> </w:t>
      </w:r>
      <w:r w:rsidRPr="00987220">
        <w:rPr>
          <w:rFonts w:ascii="Times New Roman" w:eastAsia="仿宋" w:hAnsi="Times New Roman"/>
          <w:sz w:val="32"/>
          <w:szCs w:val="32"/>
        </w:rPr>
        <w:t>退市公司申请定向发行股票、实施重大资产重组的，应当符合《非上市公众公司监督管理办法》和《非</w:t>
      </w:r>
      <w:r w:rsidRPr="00987220">
        <w:rPr>
          <w:rFonts w:ascii="Times New Roman" w:eastAsia="仿宋" w:hAnsi="Times New Roman"/>
          <w:sz w:val="32"/>
          <w:szCs w:val="32"/>
        </w:rPr>
        <w:lastRenderedPageBreak/>
        <w:t>上市公众公司重大资产重组管理办法》的有关规定。</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Times New Roman" w:eastAsia="仿宋" w:hAnsi="Times New Roman"/>
          <w:bCs/>
          <w:sz w:val="32"/>
          <w:szCs w:val="32"/>
        </w:rPr>
        <w:t>不符合前款规定的，但根据人民法院裁定，在破产重整中嵌套实施重大资产重组，重组完成后需规范运行两个完整会计年度，在此之前不得进行定向发行或重组。</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Times New Roman" w:eastAsia="仿宋" w:hAnsi="Times New Roman"/>
          <w:bCs/>
          <w:sz w:val="32"/>
          <w:szCs w:val="32"/>
        </w:rPr>
        <w:t>两网公司（即</w:t>
      </w:r>
      <w:r w:rsidRPr="00987220">
        <w:rPr>
          <w:rFonts w:ascii="Times New Roman" w:eastAsia="仿宋" w:hAnsi="Times New Roman"/>
          <w:bCs/>
          <w:sz w:val="32"/>
          <w:szCs w:val="32"/>
        </w:rPr>
        <w:t>STAQ</w:t>
      </w:r>
      <w:r w:rsidRPr="00987220">
        <w:rPr>
          <w:rFonts w:ascii="Times New Roman" w:eastAsia="仿宋" w:hAnsi="Times New Roman"/>
          <w:bCs/>
          <w:sz w:val="32"/>
          <w:szCs w:val="32"/>
        </w:rPr>
        <w:t>、</w:t>
      </w:r>
      <w:r w:rsidRPr="00987220">
        <w:rPr>
          <w:rFonts w:ascii="Times New Roman" w:eastAsia="仿宋" w:hAnsi="Times New Roman"/>
          <w:bCs/>
          <w:sz w:val="32"/>
          <w:szCs w:val="32"/>
        </w:rPr>
        <w:t>NET</w:t>
      </w:r>
      <w:r w:rsidRPr="00987220">
        <w:rPr>
          <w:rFonts w:ascii="Times New Roman" w:eastAsia="仿宋" w:hAnsi="Times New Roman"/>
          <w:bCs/>
          <w:sz w:val="32"/>
          <w:szCs w:val="32"/>
        </w:rPr>
        <w:t>系统公司，下同）实施重大资产重组和发行股票的监管要求比照退市公司执行。</w:t>
      </w:r>
    </w:p>
    <w:p w:rsidR="00617B14" w:rsidRPr="00987220" w:rsidRDefault="00617B14" w:rsidP="00617B14">
      <w:pPr>
        <w:tabs>
          <w:tab w:val="left" w:pos="6015"/>
        </w:tabs>
        <w:spacing w:line="600" w:lineRule="exact"/>
        <w:ind w:firstLineChars="200" w:firstLine="640"/>
        <w:rPr>
          <w:rFonts w:ascii="Times New Roman" w:eastAsia="仿宋" w:hAnsi="Times New Roman"/>
          <w:bCs/>
          <w:sz w:val="32"/>
          <w:szCs w:val="32"/>
        </w:rPr>
      </w:pPr>
      <w:r w:rsidRPr="00987220">
        <w:rPr>
          <w:rFonts w:ascii="黑体" w:eastAsia="黑体" w:hAnsi="黑体"/>
          <w:sz w:val="32"/>
          <w:szCs w:val="32"/>
        </w:rPr>
        <w:t>第三十九条</w:t>
      </w:r>
      <w:r w:rsidRPr="00987220">
        <w:rPr>
          <w:rFonts w:ascii="Times New Roman" w:eastAsia="仿宋" w:hAnsi="Times New Roman"/>
          <w:bCs/>
          <w:sz w:val="32"/>
          <w:szCs w:val="32"/>
        </w:rPr>
        <w:t xml:space="preserve"> </w:t>
      </w:r>
      <w:r w:rsidRPr="00987220">
        <w:rPr>
          <w:rFonts w:ascii="Times New Roman" w:eastAsia="仿宋" w:hAnsi="Times New Roman"/>
          <w:bCs/>
          <w:sz w:val="32"/>
          <w:szCs w:val="32"/>
        </w:rPr>
        <w:t>对于已挂牌的退市公司、两网公司存在未履行法定定期报告披露义务等违法违规行为的，全国股转公司可通过降低交易频次、风险提示等方式对其实施自律管理。</w:t>
      </w:r>
    </w:p>
    <w:p w:rsidR="00617B14" w:rsidRPr="00987220" w:rsidRDefault="00617B14" w:rsidP="00617B14">
      <w:pPr>
        <w:tabs>
          <w:tab w:val="left" w:pos="6015"/>
        </w:tabs>
        <w:spacing w:line="600" w:lineRule="exact"/>
        <w:ind w:firstLineChars="200" w:firstLine="640"/>
        <w:outlineLvl w:val="0"/>
        <w:rPr>
          <w:rFonts w:ascii="Times New Roman" w:eastAsia="仿宋" w:hAnsi="Times New Roman"/>
          <w:sz w:val="32"/>
          <w:szCs w:val="32"/>
        </w:rPr>
      </w:pPr>
      <w:r w:rsidRPr="00987220">
        <w:rPr>
          <w:rFonts w:ascii="黑体" w:eastAsia="黑体" w:hAnsi="黑体"/>
          <w:sz w:val="32"/>
          <w:szCs w:val="32"/>
        </w:rPr>
        <w:t>第四十条</w:t>
      </w:r>
      <w:r w:rsidRPr="00987220">
        <w:rPr>
          <w:rFonts w:ascii="Times New Roman" w:eastAsia="仿宋" w:hAnsi="Times New Roman"/>
          <w:sz w:val="32"/>
          <w:szCs w:val="32"/>
        </w:rPr>
        <w:t xml:space="preserve"> </w:t>
      </w:r>
      <w:r w:rsidRPr="00987220">
        <w:rPr>
          <w:rFonts w:ascii="Times New Roman" w:eastAsia="仿宋" w:hAnsi="Times New Roman"/>
          <w:sz w:val="32"/>
          <w:szCs w:val="32"/>
        </w:rPr>
        <w:t>退市公司进入退市板块挂牌后，存在解散或清算、被法院宣告破产、股东人数少于</w:t>
      </w:r>
      <w:r w:rsidRPr="00987220">
        <w:rPr>
          <w:rFonts w:ascii="Times New Roman" w:eastAsia="仿宋" w:hAnsi="Times New Roman"/>
          <w:sz w:val="32"/>
          <w:szCs w:val="32"/>
        </w:rPr>
        <w:t>200</w:t>
      </w:r>
      <w:r w:rsidRPr="00987220">
        <w:rPr>
          <w:rFonts w:ascii="Times New Roman" w:eastAsia="仿宋" w:hAnsi="Times New Roman"/>
          <w:sz w:val="32"/>
          <w:szCs w:val="32"/>
        </w:rPr>
        <w:t>人等情形的，其股票应当终止转让并退出退市板块。</w:t>
      </w:r>
    </w:p>
    <w:p w:rsidR="00617B14" w:rsidRPr="00987220" w:rsidRDefault="00617B14" w:rsidP="00617B14">
      <w:pPr>
        <w:spacing w:before="240" w:after="240" w:line="600" w:lineRule="exact"/>
        <w:jc w:val="center"/>
        <w:rPr>
          <w:rFonts w:ascii="黑体" w:eastAsia="黑体" w:hAnsi="黑体"/>
          <w:sz w:val="32"/>
          <w:szCs w:val="32"/>
        </w:rPr>
      </w:pPr>
      <w:r>
        <w:rPr>
          <w:rFonts w:ascii="黑体" w:eastAsia="黑体" w:hAnsi="黑体" w:hint="eastAsia"/>
          <w:sz w:val="32"/>
          <w:szCs w:val="32"/>
        </w:rPr>
        <w:t xml:space="preserve">第五章  </w:t>
      </w:r>
      <w:r w:rsidRPr="00987220">
        <w:rPr>
          <w:rFonts w:ascii="黑体" w:eastAsia="黑体" w:hAnsi="黑体"/>
          <w:sz w:val="32"/>
          <w:szCs w:val="32"/>
        </w:rPr>
        <w:t>自律管理</w:t>
      </w:r>
    </w:p>
    <w:p w:rsidR="00617B14" w:rsidRPr="00987220" w:rsidRDefault="00617B14" w:rsidP="00617B14">
      <w:pPr>
        <w:tabs>
          <w:tab w:val="left" w:pos="6015"/>
        </w:tabs>
        <w:spacing w:line="600" w:lineRule="exact"/>
        <w:ind w:firstLineChars="200" w:firstLine="640"/>
        <w:outlineLvl w:val="0"/>
        <w:rPr>
          <w:rFonts w:ascii="Times New Roman" w:eastAsia="仿宋" w:hAnsi="Times New Roman"/>
          <w:sz w:val="32"/>
          <w:szCs w:val="32"/>
        </w:rPr>
      </w:pPr>
      <w:r w:rsidRPr="00987220">
        <w:rPr>
          <w:rFonts w:ascii="黑体" w:eastAsia="黑体" w:hAnsi="黑体"/>
          <w:sz w:val="32"/>
          <w:szCs w:val="32"/>
        </w:rPr>
        <w:t>第四十一条</w:t>
      </w:r>
      <w:r w:rsidRPr="00987220">
        <w:rPr>
          <w:rFonts w:ascii="Times New Roman" w:eastAsia="仿宋" w:hAnsi="Times New Roman"/>
          <w:b/>
          <w:bCs/>
          <w:sz w:val="32"/>
          <w:szCs w:val="32"/>
        </w:rPr>
        <w:t xml:space="preserve"> </w:t>
      </w:r>
      <w:r w:rsidRPr="00987220">
        <w:rPr>
          <w:rFonts w:ascii="Times New Roman" w:eastAsia="仿宋" w:hAnsi="Times New Roman"/>
          <w:sz w:val="32"/>
          <w:szCs w:val="32"/>
        </w:rPr>
        <w:t>主办券商未能积极配合相关工作、</w:t>
      </w:r>
      <w:proofErr w:type="gramStart"/>
      <w:r w:rsidRPr="00987220">
        <w:rPr>
          <w:rFonts w:ascii="Times New Roman" w:eastAsia="仿宋" w:hAnsi="Times New Roman"/>
          <w:sz w:val="32"/>
          <w:szCs w:val="32"/>
        </w:rPr>
        <w:t>怠</w:t>
      </w:r>
      <w:proofErr w:type="gramEnd"/>
      <w:r w:rsidRPr="00987220">
        <w:rPr>
          <w:rFonts w:ascii="Times New Roman" w:eastAsia="仿宋" w:hAnsi="Times New Roman"/>
          <w:sz w:val="32"/>
          <w:szCs w:val="32"/>
        </w:rPr>
        <w:t>于履行职责的，交易所、全国股转公司可以依照相关业务规则采取自律管理措施。</w:t>
      </w:r>
    </w:p>
    <w:p w:rsidR="00617B14" w:rsidRPr="00987220" w:rsidRDefault="00617B14" w:rsidP="00617B14">
      <w:pPr>
        <w:spacing w:before="240" w:after="240" w:line="600" w:lineRule="exact"/>
        <w:jc w:val="center"/>
        <w:rPr>
          <w:rFonts w:ascii="黑体" w:eastAsia="黑体" w:hAnsi="黑体"/>
          <w:sz w:val="32"/>
          <w:szCs w:val="32"/>
        </w:rPr>
      </w:pPr>
      <w:r w:rsidRPr="00987220">
        <w:rPr>
          <w:rFonts w:ascii="黑体" w:eastAsia="黑体" w:hAnsi="黑体"/>
          <w:sz w:val="32"/>
          <w:szCs w:val="32"/>
        </w:rPr>
        <w:t xml:space="preserve">第六章 </w:t>
      </w:r>
      <w:r>
        <w:rPr>
          <w:rFonts w:ascii="黑体" w:eastAsia="黑体" w:hAnsi="黑体"/>
          <w:sz w:val="32"/>
          <w:szCs w:val="32"/>
        </w:rPr>
        <w:t xml:space="preserve"> </w:t>
      </w:r>
      <w:r w:rsidRPr="00987220">
        <w:rPr>
          <w:rFonts w:ascii="黑体" w:eastAsia="黑体" w:hAnsi="黑体"/>
          <w:sz w:val="32"/>
          <w:szCs w:val="32"/>
        </w:rPr>
        <w:t>附</w:t>
      </w:r>
      <w:r>
        <w:rPr>
          <w:rFonts w:ascii="黑体" w:eastAsia="黑体" w:hAnsi="黑体" w:hint="eastAsia"/>
          <w:sz w:val="32"/>
          <w:szCs w:val="32"/>
        </w:rPr>
        <w:t xml:space="preserve">  </w:t>
      </w:r>
      <w:r w:rsidRPr="00987220">
        <w:rPr>
          <w:rFonts w:ascii="黑体" w:eastAsia="黑体" w:hAnsi="黑体"/>
          <w:sz w:val="32"/>
          <w:szCs w:val="32"/>
        </w:rPr>
        <w:t>则</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第四十二条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因不可抗力、技术系统故障等原因导致证券登记数据发生错误的，中国结算与相关机构核对一致后进行更正。</w:t>
      </w:r>
    </w:p>
    <w:p w:rsidR="00617B14" w:rsidRPr="00987220" w:rsidRDefault="00617B14" w:rsidP="00617B14">
      <w:pPr>
        <w:spacing w:line="600" w:lineRule="exact"/>
        <w:ind w:firstLineChars="200" w:firstLine="640"/>
        <w:rPr>
          <w:rFonts w:ascii="Times New Roman" w:eastAsia="仿宋" w:hAnsi="Times New Roman"/>
          <w:color w:val="000000"/>
          <w:sz w:val="32"/>
          <w:szCs w:val="32"/>
        </w:rPr>
      </w:pPr>
      <w:r w:rsidRPr="00987220">
        <w:rPr>
          <w:rFonts w:ascii="黑体" w:eastAsia="黑体" w:hAnsi="黑体"/>
          <w:sz w:val="32"/>
          <w:szCs w:val="32"/>
        </w:rPr>
        <w:t>第四十三条</w:t>
      </w:r>
      <w:r w:rsidRPr="00987220">
        <w:rPr>
          <w:rFonts w:ascii="Times New Roman" w:eastAsia="仿宋" w:hAnsi="Times New Roman"/>
          <w:b/>
          <w:color w:val="000000"/>
          <w:sz w:val="32"/>
          <w:szCs w:val="32"/>
        </w:rPr>
        <w:t xml:space="preserve"> </w:t>
      </w:r>
      <w:r w:rsidRPr="00987220">
        <w:rPr>
          <w:rFonts w:ascii="Times New Roman" w:eastAsia="仿宋" w:hAnsi="Times New Roman"/>
          <w:color w:val="000000"/>
          <w:sz w:val="32"/>
          <w:szCs w:val="32"/>
        </w:rPr>
        <w:t>本办法未明确事项，依据交易所、全国股转</w:t>
      </w:r>
      <w:r w:rsidRPr="00987220">
        <w:rPr>
          <w:rFonts w:ascii="Times New Roman" w:eastAsia="仿宋" w:hAnsi="Times New Roman"/>
          <w:color w:val="000000"/>
          <w:sz w:val="32"/>
          <w:szCs w:val="32"/>
        </w:rPr>
        <w:lastRenderedPageBreak/>
        <w:t>公司和中国结算其他业务规则执行。</w:t>
      </w:r>
    </w:p>
    <w:p w:rsidR="00617B14" w:rsidRPr="00987220" w:rsidRDefault="00617B14" w:rsidP="00617B14">
      <w:pPr>
        <w:spacing w:line="600" w:lineRule="exact"/>
        <w:ind w:firstLineChars="200" w:firstLine="640"/>
        <w:rPr>
          <w:rFonts w:ascii="Times New Roman" w:eastAsia="仿宋" w:hAnsi="Times New Roman"/>
          <w:sz w:val="32"/>
          <w:szCs w:val="32"/>
        </w:rPr>
      </w:pPr>
      <w:r w:rsidRPr="00987220">
        <w:rPr>
          <w:rFonts w:ascii="黑体" w:eastAsia="黑体" w:hAnsi="黑体"/>
          <w:sz w:val="32"/>
          <w:szCs w:val="32"/>
        </w:rPr>
        <w:t>第四十四条</w:t>
      </w:r>
      <w:r w:rsidRPr="00987220">
        <w:rPr>
          <w:rFonts w:ascii="Times New Roman" w:eastAsia="仿宋" w:hAnsi="Times New Roman"/>
          <w:b/>
          <w:sz w:val="32"/>
          <w:szCs w:val="32"/>
        </w:rPr>
        <w:t xml:space="preserve"> </w:t>
      </w:r>
      <w:r w:rsidRPr="00987220">
        <w:rPr>
          <w:rFonts w:ascii="Times New Roman" w:eastAsia="仿宋" w:hAnsi="Times New Roman"/>
          <w:sz w:val="32"/>
          <w:szCs w:val="32"/>
        </w:rPr>
        <w:t>本办法自</w:t>
      </w:r>
      <w:r w:rsidRPr="00987220">
        <w:rPr>
          <w:rFonts w:ascii="Times New Roman" w:eastAsia="仿宋" w:hAnsi="Times New Roman"/>
          <w:sz w:val="32"/>
          <w:szCs w:val="32"/>
        </w:rPr>
        <w:t>2022</w:t>
      </w:r>
      <w:r w:rsidRPr="00987220">
        <w:rPr>
          <w:rFonts w:ascii="Times New Roman" w:eastAsia="仿宋" w:hAnsi="Times New Roman"/>
          <w:sz w:val="32"/>
          <w:szCs w:val="32"/>
        </w:rPr>
        <w:t>年</w:t>
      </w:r>
      <w:r w:rsidRPr="00987220">
        <w:rPr>
          <w:rFonts w:ascii="Times New Roman" w:eastAsia="仿宋" w:hAnsi="Times New Roman"/>
          <w:sz w:val="32"/>
          <w:szCs w:val="32"/>
        </w:rPr>
        <w:t>4</w:t>
      </w:r>
      <w:r w:rsidRPr="00987220">
        <w:rPr>
          <w:rFonts w:ascii="Times New Roman" w:eastAsia="仿宋" w:hAnsi="Times New Roman"/>
          <w:sz w:val="32"/>
          <w:szCs w:val="32"/>
        </w:rPr>
        <w:t>月</w:t>
      </w:r>
      <w:r w:rsidRPr="00987220">
        <w:rPr>
          <w:rFonts w:ascii="Times New Roman" w:eastAsia="仿宋" w:hAnsi="Times New Roman"/>
          <w:sz w:val="32"/>
          <w:szCs w:val="32"/>
        </w:rPr>
        <w:t>29</w:t>
      </w:r>
      <w:r w:rsidRPr="00987220">
        <w:rPr>
          <w:rFonts w:ascii="Times New Roman" w:eastAsia="仿宋" w:hAnsi="Times New Roman"/>
          <w:sz w:val="32"/>
          <w:szCs w:val="32"/>
        </w:rPr>
        <w:t>日起实施。</w:t>
      </w:r>
    </w:p>
    <w:p w:rsidR="00222DD1" w:rsidRPr="00617B14" w:rsidRDefault="00222DD1"/>
    <w:sectPr w:rsidR="00222DD1" w:rsidRPr="00617B1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09" w:rsidRDefault="00800E09" w:rsidP="00617B14">
      <w:r>
        <w:separator/>
      </w:r>
    </w:p>
  </w:endnote>
  <w:endnote w:type="continuationSeparator" w:id="0">
    <w:p w:rsidR="00800E09" w:rsidRDefault="00800E09" w:rsidP="0061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方正书宋_GBK"/>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778877"/>
      <w:docPartObj>
        <w:docPartGallery w:val="Page Numbers (Bottom of Page)"/>
        <w:docPartUnique/>
      </w:docPartObj>
    </w:sdtPr>
    <w:sdtEndPr/>
    <w:sdtContent>
      <w:p w:rsidR="00617B14" w:rsidRDefault="00617B14">
        <w:pPr>
          <w:pStyle w:val="a4"/>
          <w:jc w:val="center"/>
        </w:pPr>
        <w:r>
          <w:fldChar w:fldCharType="begin"/>
        </w:r>
        <w:r>
          <w:instrText>PAGE   \* MERGEFORMAT</w:instrText>
        </w:r>
        <w:r>
          <w:fldChar w:fldCharType="separate"/>
        </w:r>
        <w:r w:rsidR="00824DE8" w:rsidRPr="00824DE8">
          <w:rPr>
            <w:noProof/>
            <w:lang w:val="zh-CN"/>
          </w:rPr>
          <w:t>2</w:t>
        </w:r>
        <w:r>
          <w:fldChar w:fldCharType="end"/>
        </w:r>
      </w:p>
    </w:sdtContent>
  </w:sdt>
  <w:p w:rsidR="00617B14" w:rsidRDefault="00617B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09" w:rsidRDefault="00800E09" w:rsidP="00617B14">
      <w:r>
        <w:separator/>
      </w:r>
    </w:p>
  </w:footnote>
  <w:footnote w:type="continuationSeparator" w:id="0">
    <w:p w:rsidR="00800E09" w:rsidRDefault="00800E09" w:rsidP="00617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1D"/>
    <w:rsid w:val="00222DD1"/>
    <w:rsid w:val="00617B14"/>
    <w:rsid w:val="00675175"/>
    <w:rsid w:val="00800E09"/>
    <w:rsid w:val="00824DE8"/>
    <w:rsid w:val="0084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47E39B-B438-41F3-A511-14566BB4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B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7B14"/>
    <w:rPr>
      <w:sz w:val="18"/>
      <w:szCs w:val="18"/>
    </w:rPr>
  </w:style>
  <w:style w:type="paragraph" w:styleId="a4">
    <w:name w:val="footer"/>
    <w:basedOn w:val="a"/>
    <w:link w:val="Char0"/>
    <w:uiPriority w:val="99"/>
    <w:unhideWhenUsed/>
    <w:rsid w:val="00617B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7B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周作炜zzw</dc:creator>
  <cp:keywords/>
  <dc:description/>
  <cp:lastModifiedBy>王汉林whl </cp:lastModifiedBy>
  <cp:revision>3</cp:revision>
  <dcterms:created xsi:type="dcterms:W3CDTF">2022-04-29T01:13:00Z</dcterms:created>
  <dcterms:modified xsi:type="dcterms:W3CDTF">2022-04-29T10:30:00Z</dcterms:modified>
</cp:coreProperties>
</file>